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95296A2" w:rsidR="00A209D6" w:rsidRPr="000518E6" w:rsidRDefault="00A209D6" w:rsidP="00A209D6">
      <w:pPr>
        <w:pStyle w:val="Header"/>
        <w:tabs>
          <w:tab w:val="right" w:pos="9639"/>
        </w:tabs>
        <w:rPr>
          <w:bCs/>
          <w:i/>
          <w:noProof w:val="0"/>
          <w:sz w:val="24"/>
          <w:szCs w:val="24"/>
        </w:rPr>
      </w:pPr>
      <w:r w:rsidRPr="000518E6">
        <w:rPr>
          <w:bCs/>
          <w:noProof w:val="0"/>
          <w:sz w:val="24"/>
          <w:szCs w:val="24"/>
        </w:rPr>
        <w:t>3GPP TSG-RAN WG2 Meeting #</w:t>
      </w:r>
      <w:r w:rsidR="0036459E" w:rsidRPr="000518E6">
        <w:rPr>
          <w:bCs/>
          <w:noProof w:val="0"/>
          <w:sz w:val="24"/>
          <w:szCs w:val="24"/>
        </w:rPr>
        <w:t>11</w:t>
      </w:r>
      <w:r w:rsidR="002B2988" w:rsidRPr="000518E6">
        <w:rPr>
          <w:bCs/>
          <w:noProof w:val="0"/>
          <w:sz w:val="24"/>
          <w:szCs w:val="24"/>
        </w:rPr>
        <w:t>8</w:t>
      </w:r>
      <w:r w:rsidR="00244A05" w:rsidRPr="000518E6">
        <w:rPr>
          <w:bCs/>
          <w:noProof w:val="0"/>
          <w:sz w:val="24"/>
          <w:szCs w:val="24"/>
        </w:rPr>
        <w:t xml:space="preserve"> Electronic</w:t>
      </w:r>
      <w:r w:rsidRPr="000518E6">
        <w:rPr>
          <w:bCs/>
          <w:noProof w:val="0"/>
          <w:sz w:val="24"/>
          <w:szCs w:val="24"/>
        </w:rPr>
        <w:tab/>
        <w:t>R2-</w:t>
      </w:r>
      <w:r w:rsidR="009376CD" w:rsidRPr="000518E6">
        <w:rPr>
          <w:bCs/>
          <w:noProof w:val="0"/>
          <w:sz w:val="24"/>
          <w:szCs w:val="24"/>
        </w:rPr>
        <w:t>2</w:t>
      </w:r>
      <w:r w:rsidR="005C7CD5" w:rsidRPr="000518E6">
        <w:rPr>
          <w:bCs/>
          <w:noProof w:val="0"/>
          <w:sz w:val="24"/>
          <w:szCs w:val="24"/>
        </w:rPr>
        <w:t>2</w:t>
      </w:r>
      <w:r w:rsidR="00C55A12" w:rsidRPr="000518E6">
        <w:rPr>
          <w:bCs/>
          <w:noProof w:val="0"/>
          <w:sz w:val="24"/>
          <w:szCs w:val="24"/>
        </w:rPr>
        <w:t>0</w:t>
      </w:r>
      <w:r w:rsidR="00BB006A">
        <w:rPr>
          <w:bCs/>
          <w:noProof w:val="0"/>
          <w:sz w:val="24"/>
          <w:szCs w:val="24"/>
        </w:rPr>
        <w:t>5529</w:t>
      </w:r>
    </w:p>
    <w:p w14:paraId="11776FA6" w14:textId="280DC415" w:rsidR="00A209D6" w:rsidRPr="000518E6" w:rsidRDefault="00A36F5F" w:rsidP="00A209D6">
      <w:pPr>
        <w:pStyle w:val="Header"/>
        <w:tabs>
          <w:tab w:val="right" w:pos="9639"/>
        </w:tabs>
        <w:rPr>
          <w:rFonts w:eastAsia="SimSun"/>
          <w:bCs/>
          <w:sz w:val="24"/>
          <w:szCs w:val="24"/>
          <w:lang w:eastAsia="zh-CN"/>
        </w:rPr>
      </w:pPr>
      <w:r w:rsidRPr="000518E6">
        <w:rPr>
          <w:rFonts w:eastAsia="SimSun"/>
          <w:bCs/>
          <w:sz w:val="24"/>
          <w:szCs w:val="24"/>
          <w:lang w:eastAsia="zh-CN"/>
        </w:rPr>
        <w:t xml:space="preserve">Elbonia, </w:t>
      </w:r>
      <w:r w:rsidR="002B2988" w:rsidRPr="000518E6">
        <w:rPr>
          <w:rFonts w:eastAsia="SimSun"/>
          <w:bCs/>
          <w:sz w:val="24"/>
          <w:szCs w:val="24"/>
          <w:lang w:eastAsia="zh-CN"/>
        </w:rPr>
        <w:t>09</w:t>
      </w:r>
      <w:r w:rsidR="005C7CD5" w:rsidRPr="000518E6">
        <w:rPr>
          <w:rFonts w:eastAsia="SimSun"/>
          <w:bCs/>
          <w:sz w:val="24"/>
          <w:szCs w:val="24"/>
          <w:lang w:eastAsia="zh-CN"/>
        </w:rPr>
        <w:t xml:space="preserve"> – 2</w:t>
      </w:r>
      <w:r w:rsidR="00B759A8" w:rsidRPr="000518E6">
        <w:rPr>
          <w:rFonts w:eastAsia="SimSun"/>
          <w:bCs/>
          <w:sz w:val="24"/>
          <w:szCs w:val="24"/>
          <w:lang w:eastAsia="zh-CN"/>
        </w:rPr>
        <w:t>0</w:t>
      </w:r>
      <w:r w:rsidR="005C7CD5" w:rsidRPr="000518E6">
        <w:rPr>
          <w:rFonts w:eastAsia="SimSun"/>
          <w:bCs/>
          <w:sz w:val="24"/>
          <w:szCs w:val="24"/>
          <w:lang w:eastAsia="zh-CN"/>
        </w:rPr>
        <w:t xml:space="preserve"> </w:t>
      </w:r>
      <w:r w:rsidR="00A703B6" w:rsidRPr="000518E6">
        <w:rPr>
          <w:rFonts w:eastAsia="SimSun"/>
          <w:bCs/>
          <w:sz w:val="24"/>
          <w:szCs w:val="24"/>
          <w:lang w:eastAsia="zh-CN"/>
        </w:rPr>
        <w:t>May</w:t>
      </w:r>
      <w:r w:rsidR="005C7CD5" w:rsidRPr="000518E6">
        <w:rPr>
          <w:rFonts w:eastAsia="SimSun"/>
          <w:bCs/>
          <w:sz w:val="24"/>
          <w:szCs w:val="24"/>
          <w:lang w:eastAsia="zh-CN"/>
        </w:rPr>
        <w:t xml:space="preserve"> 2022</w:t>
      </w:r>
      <w:r w:rsidR="00A209D6" w:rsidRPr="000518E6">
        <w:rPr>
          <w:rFonts w:eastAsia="SimSun"/>
          <w:noProof w:val="0"/>
          <w:sz w:val="24"/>
          <w:szCs w:val="24"/>
          <w:lang w:eastAsia="zh-CN"/>
        </w:rPr>
        <w:tab/>
      </w:r>
    </w:p>
    <w:p w14:paraId="2E02E5F5" w14:textId="77777777" w:rsidR="00A209D6" w:rsidRPr="000518E6" w:rsidRDefault="00A209D6" w:rsidP="00A209D6">
      <w:pPr>
        <w:pStyle w:val="Header"/>
        <w:rPr>
          <w:bCs/>
          <w:noProof w:val="0"/>
          <w:sz w:val="24"/>
        </w:rPr>
      </w:pPr>
    </w:p>
    <w:p w14:paraId="403CB9C0" w14:textId="77777777" w:rsidR="00A209D6" w:rsidRPr="000518E6" w:rsidRDefault="00A209D6" w:rsidP="00A209D6">
      <w:pPr>
        <w:pStyle w:val="Header"/>
        <w:rPr>
          <w:bCs/>
          <w:noProof w:val="0"/>
          <w:sz w:val="24"/>
        </w:rPr>
      </w:pPr>
    </w:p>
    <w:p w14:paraId="310B92C9" w14:textId="3845AB2E" w:rsidR="00446C3A" w:rsidRPr="000518E6" w:rsidRDefault="00446C3A" w:rsidP="00446C3A">
      <w:pPr>
        <w:pStyle w:val="CRCoverPage"/>
        <w:tabs>
          <w:tab w:val="left" w:pos="1985"/>
        </w:tabs>
        <w:rPr>
          <w:rFonts w:cs="Arial"/>
          <w:b/>
          <w:bCs/>
          <w:sz w:val="24"/>
          <w:lang w:eastAsia="ja-JP"/>
        </w:rPr>
      </w:pPr>
      <w:r w:rsidRPr="000518E6">
        <w:rPr>
          <w:rFonts w:cs="Arial"/>
          <w:b/>
          <w:bCs/>
          <w:sz w:val="24"/>
        </w:rPr>
        <w:t>Agenda item:</w:t>
      </w:r>
      <w:r w:rsidRPr="000518E6">
        <w:rPr>
          <w:rFonts w:cs="Arial"/>
          <w:b/>
          <w:bCs/>
          <w:sz w:val="24"/>
        </w:rPr>
        <w:tab/>
      </w:r>
      <w:r w:rsidR="00BB006A">
        <w:rPr>
          <w:rFonts w:cs="Arial"/>
          <w:b/>
          <w:bCs/>
          <w:sz w:val="24"/>
          <w:lang w:eastAsia="ja-JP"/>
        </w:rPr>
        <w:t>6</w:t>
      </w:r>
      <w:r w:rsidRPr="000518E6">
        <w:rPr>
          <w:rFonts w:cs="Arial"/>
          <w:b/>
          <w:bCs/>
          <w:sz w:val="24"/>
          <w:lang w:eastAsia="ja-JP"/>
        </w:rPr>
        <w:t>.</w:t>
      </w:r>
      <w:r w:rsidR="00F67307">
        <w:rPr>
          <w:rFonts w:cs="Arial"/>
          <w:b/>
          <w:bCs/>
          <w:sz w:val="24"/>
          <w:lang w:eastAsia="ja-JP"/>
        </w:rPr>
        <w:t>10</w:t>
      </w:r>
      <w:r w:rsidRPr="000518E6">
        <w:rPr>
          <w:rFonts w:cs="Arial"/>
          <w:b/>
          <w:bCs/>
          <w:sz w:val="24"/>
          <w:lang w:eastAsia="ja-JP"/>
        </w:rPr>
        <w:t>.</w:t>
      </w:r>
      <w:r w:rsidR="00B759A8" w:rsidRPr="000518E6">
        <w:rPr>
          <w:rFonts w:cs="Arial"/>
          <w:b/>
          <w:bCs/>
          <w:sz w:val="24"/>
          <w:lang w:eastAsia="ja-JP"/>
        </w:rPr>
        <w:t>3.</w:t>
      </w:r>
      <w:r w:rsidR="00BB006A">
        <w:rPr>
          <w:rFonts w:cs="Arial"/>
          <w:b/>
          <w:bCs/>
          <w:sz w:val="24"/>
          <w:lang w:eastAsia="ja-JP"/>
        </w:rPr>
        <w:t>2.1</w:t>
      </w:r>
    </w:p>
    <w:p w14:paraId="73188B46" w14:textId="291AB2C2" w:rsidR="00446C3A" w:rsidRPr="000518E6" w:rsidRDefault="00446C3A" w:rsidP="00446C3A">
      <w:pPr>
        <w:tabs>
          <w:tab w:val="left" w:pos="1985"/>
        </w:tabs>
        <w:ind w:left="1985" w:hanging="1985"/>
        <w:rPr>
          <w:rFonts w:ascii="Arial" w:hAnsi="Arial" w:cs="Arial"/>
          <w:b/>
          <w:bCs/>
          <w:sz w:val="24"/>
        </w:rPr>
      </w:pPr>
      <w:r w:rsidRPr="000518E6">
        <w:rPr>
          <w:rFonts w:ascii="Arial" w:hAnsi="Arial" w:cs="Arial"/>
          <w:b/>
          <w:bCs/>
          <w:sz w:val="24"/>
        </w:rPr>
        <w:t>Source:</w:t>
      </w:r>
      <w:r w:rsidRPr="000518E6">
        <w:rPr>
          <w:rFonts w:ascii="Arial" w:hAnsi="Arial" w:cs="Arial"/>
          <w:b/>
          <w:bCs/>
          <w:sz w:val="24"/>
        </w:rPr>
        <w:tab/>
        <w:t>Nokia, Nokia Shanghai Bell</w:t>
      </w:r>
      <w:r w:rsidR="00CE79B8" w:rsidRPr="000518E6">
        <w:rPr>
          <w:rFonts w:ascii="Arial" w:hAnsi="Arial" w:cs="Arial"/>
          <w:b/>
          <w:bCs/>
          <w:sz w:val="24"/>
        </w:rPr>
        <w:t xml:space="preserve"> </w:t>
      </w:r>
    </w:p>
    <w:p w14:paraId="44080389" w14:textId="0DA43B53" w:rsidR="00BB006A" w:rsidRPr="000518E6" w:rsidRDefault="00446C3A" w:rsidP="00446C3A">
      <w:pPr>
        <w:ind w:left="1985" w:hanging="1985"/>
        <w:rPr>
          <w:rFonts w:ascii="Arial" w:hAnsi="Arial" w:cs="Arial"/>
          <w:b/>
          <w:bCs/>
          <w:sz w:val="24"/>
        </w:rPr>
      </w:pPr>
      <w:r w:rsidRPr="000518E6">
        <w:rPr>
          <w:rFonts w:ascii="Arial" w:hAnsi="Arial" w:cs="Arial"/>
          <w:b/>
          <w:bCs/>
          <w:sz w:val="24"/>
        </w:rPr>
        <w:t>Title:</w:t>
      </w:r>
      <w:r w:rsidRPr="000518E6">
        <w:rPr>
          <w:rFonts w:ascii="Arial" w:hAnsi="Arial" w:cs="Arial"/>
          <w:b/>
          <w:bCs/>
          <w:sz w:val="24"/>
        </w:rPr>
        <w:tab/>
      </w:r>
      <w:r w:rsidR="00BB006A" w:rsidRPr="00BB006A">
        <w:rPr>
          <w:rFonts w:ascii="Arial" w:hAnsi="Arial" w:cs="Arial"/>
          <w:b/>
          <w:bCs/>
          <w:sz w:val="24"/>
        </w:rPr>
        <w:t>Resolving open NTN issues for CONNECTED mode</w:t>
      </w:r>
    </w:p>
    <w:p w14:paraId="25F387E8" w14:textId="26632D15" w:rsidR="00446C3A" w:rsidRPr="000518E6" w:rsidRDefault="00446C3A" w:rsidP="00446C3A">
      <w:pPr>
        <w:ind w:left="1985" w:hanging="1985"/>
        <w:rPr>
          <w:rFonts w:ascii="Arial" w:hAnsi="Arial" w:cs="Arial"/>
          <w:b/>
          <w:bCs/>
          <w:sz w:val="24"/>
        </w:rPr>
      </w:pPr>
      <w:r w:rsidRPr="000518E6">
        <w:rPr>
          <w:rFonts w:ascii="Arial" w:hAnsi="Arial" w:cs="Arial"/>
          <w:b/>
          <w:bCs/>
          <w:sz w:val="24"/>
        </w:rPr>
        <w:t>WID/SID:</w:t>
      </w:r>
      <w:r w:rsidRPr="000518E6">
        <w:rPr>
          <w:rFonts w:ascii="Arial" w:hAnsi="Arial" w:cs="Arial"/>
          <w:b/>
          <w:bCs/>
          <w:sz w:val="24"/>
        </w:rPr>
        <w:tab/>
      </w:r>
      <w:proofErr w:type="spellStart"/>
      <w:r w:rsidR="00F67307" w:rsidRPr="00F67307">
        <w:rPr>
          <w:rFonts w:ascii="Arial" w:hAnsi="Arial" w:cs="Arial"/>
          <w:b/>
          <w:bCs/>
          <w:sz w:val="24"/>
        </w:rPr>
        <w:t>NR_NTN_solutions</w:t>
      </w:r>
      <w:proofErr w:type="spellEnd"/>
      <w:r w:rsidR="00F67307" w:rsidRPr="00F67307">
        <w:rPr>
          <w:rFonts w:ascii="Arial" w:hAnsi="Arial" w:cs="Arial"/>
          <w:b/>
          <w:bCs/>
          <w:sz w:val="24"/>
        </w:rPr>
        <w:t xml:space="preserve">-Core </w:t>
      </w:r>
      <w:r w:rsidRPr="000518E6">
        <w:rPr>
          <w:rFonts w:ascii="Arial" w:hAnsi="Arial" w:cs="Arial"/>
          <w:b/>
          <w:bCs/>
          <w:sz w:val="24"/>
        </w:rPr>
        <w:t xml:space="preserve">- Release </w:t>
      </w:r>
      <w:r w:rsidR="00B759A8" w:rsidRPr="000518E6">
        <w:rPr>
          <w:rFonts w:ascii="Arial" w:hAnsi="Arial" w:cs="Arial"/>
          <w:b/>
          <w:bCs/>
          <w:sz w:val="24"/>
        </w:rPr>
        <w:t>17</w:t>
      </w:r>
    </w:p>
    <w:p w14:paraId="6FEB19D6" w14:textId="77777777" w:rsidR="00446C3A" w:rsidRPr="000518E6" w:rsidRDefault="00446C3A" w:rsidP="00446C3A">
      <w:pPr>
        <w:tabs>
          <w:tab w:val="left" w:pos="1985"/>
        </w:tabs>
        <w:rPr>
          <w:rFonts w:ascii="Arial" w:hAnsi="Arial" w:cs="Arial"/>
          <w:b/>
          <w:bCs/>
          <w:sz w:val="24"/>
        </w:rPr>
      </w:pPr>
      <w:r w:rsidRPr="000518E6">
        <w:rPr>
          <w:rFonts w:ascii="Arial" w:hAnsi="Arial" w:cs="Arial"/>
          <w:b/>
          <w:bCs/>
          <w:sz w:val="24"/>
        </w:rPr>
        <w:t>Document for:</w:t>
      </w:r>
      <w:r w:rsidRPr="000518E6">
        <w:rPr>
          <w:rFonts w:ascii="Arial" w:hAnsi="Arial" w:cs="Arial"/>
          <w:b/>
          <w:bCs/>
          <w:sz w:val="24"/>
        </w:rPr>
        <w:tab/>
        <w:t>Discussion and Decision</w:t>
      </w:r>
    </w:p>
    <w:p w14:paraId="294B1FC1" w14:textId="77777777" w:rsidR="00A209D6" w:rsidRPr="000518E6" w:rsidRDefault="00A209D6" w:rsidP="00A209D6">
      <w:pPr>
        <w:pStyle w:val="Heading1"/>
      </w:pPr>
      <w:r w:rsidRPr="000518E6">
        <w:t>1</w:t>
      </w:r>
      <w:r w:rsidRPr="000518E6">
        <w:tab/>
        <w:t>Introduction</w:t>
      </w:r>
    </w:p>
    <w:p w14:paraId="46347EC6" w14:textId="24D7B15D" w:rsidR="00CB780A" w:rsidRPr="000518E6" w:rsidRDefault="00CB780A" w:rsidP="009339CB">
      <w:r w:rsidRPr="000518E6">
        <w:t>At RAN2#117</w:t>
      </w:r>
      <w:r w:rsidR="00BE1589">
        <w:t xml:space="preserve"> (or shortly afterwards, during the post-meeting e-mail thread)</w:t>
      </w:r>
      <w:r w:rsidRPr="000518E6">
        <w:t>, the</w:t>
      </w:r>
      <w:r w:rsidR="005B02BF">
        <w:t xml:space="preserve"> NR NTN Rel-17 has been declared complete. </w:t>
      </w:r>
      <w:r w:rsidR="00E362D3">
        <w:t xml:space="preserve">This is also reflected in the work item status report submitted in </w:t>
      </w:r>
      <w:r w:rsidR="0056604A">
        <w:fldChar w:fldCharType="begin"/>
      </w:r>
      <w:r w:rsidR="0056604A">
        <w:instrText xml:space="preserve"> REF _Ref100825595 \r \h </w:instrText>
      </w:r>
      <w:r w:rsidR="0056604A">
        <w:fldChar w:fldCharType="separate"/>
      </w:r>
      <w:r w:rsidR="0056604A">
        <w:t>[1]</w:t>
      </w:r>
      <w:r w:rsidR="0056604A">
        <w:fldChar w:fldCharType="end"/>
      </w:r>
      <w:r w:rsidR="00E362D3">
        <w:t xml:space="preserve"> to RAN</w:t>
      </w:r>
      <w:r w:rsidR="00E362D3" w:rsidRPr="00E362D3">
        <w:t>#</w:t>
      </w:r>
      <w:r w:rsidR="00E362D3">
        <w:t>95. This paper attempts to resolve the remaining open issues in the completed Rel-17 NTN work.</w:t>
      </w:r>
    </w:p>
    <w:p w14:paraId="7D484B6E" w14:textId="1C969042" w:rsidR="009339CB" w:rsidRPr="000518E6" w:rsidRDefault="009339CB" w:rsidP="009339CB">
      <w:pPr>
        <w:pStyle w:val="Heading1"/>
      </w:pPr>
      <w:r w:rsidRPr="000518E6">
        <w:t>2</w:t>
      </w:r>
      <w:r w:rsidRPr="000518E6">
        <w:tab/>
      </w:r>
      <w:r w:rsidR="00202BD0" w:rsidRPr="000518E6">
        <w:t>Discussion</w:t>
      </w:r>
    </w:p>
    <w:p w14:paraId="5982B445" w14:textId="6A441516" w:rsidR="009339CB" w:rsidRDefault="009339CB" w:rsidP="009339CB">
      <w:pPr>
        <w:pStyle w:val="Heading2"/>
      </w:pPr>
      <w:r w:rsidRPr="000518E6">
        <w:t>2.1</w:t>
      </w:r>
      <w:r w:rsidRPr="000518E6">
        <w:tab/>
      </w:r>
      <w:r w:rsidR="00CE79B8" w:rsidRPr="000518E6">
        <w:t>C</w:t>
      </w:r>
      <w:r w:rsidR="00F25591">
        <w:t>HO Recovery for NTN</w:t>
      </w:r>
    </w:p>
    <w:p w14:paraId="67541908" w14:textId="6BAE87AC" w:rsidR="001C6A0B" w:rsidRDefault="001C6A0B" w:rsidP="00F25591">
      <w:pPr>
        <w:jc w:val="both"/>
      </w:pPr>
      <w:r>
        <w:t xml:space="preserve">The following has been agreed and discussed at RAN2#117 </w:t>
      </w:r>
      <w:r>
        <w:fldChar w:fldCharType="begin"/>
      </w:r>
      <w:r>
        <w:instrText xml:space="preserve"> REF _Ref100826006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1C6A0B" w14:paraId="43ECD88D" w14:textId="77777777" w:rsidTr="001C6A0B">
        <w:tc>
          <w:tcPr>
            <w:tcW w:w="9631" w:type="dxa"/>
          </w:tcPr>
          <w:p w14:paraId="40CF202E" w14:textId="77777777" w:rsidR="001C6A0B" w:rsidRDefault="001C6A0B" w:rsidP="00F25591">
            <w:pPr>
              <w:jc w:val="both"/>
            </w:pPr>
            <w:r w:rsidRPr="001C6A0B">
              <w:t>2.</w:t>
            </w:r>
            <w:r w:rsidRPr="001C6A0B">
              <w:tab/>
              <w:t>If the CHO is not executed at T2 (timer associated with this candidate CHO cell) the UE continues to operate in the source cell and evaluates other CHO execution conditions (if configured).</w:t>
            </w:r>
          </w:p>
          <w:p w14:paraId="3888D2E2" w14:textId="77777777" w:rsidR="001C6A0B" w:rsidRPr="001C6A0B" w:rsidRDefault="001C6A0B" w:rsidP="001C6A0B">
            <w:pPr>
              <w:jc w:val="both"/>
              <w:rPr>
                <w:iCs/>
              </w:rPr>
            </w:pPr>
            <w:r w:rsidRPr="001C6A0B">
              <w:rPr>
                <w:iCs/>
              </w:rPr>
              <w:t>Proposal 5-5: Discuss further what happens with the CHO configuration after T2 expiry (i.e. UE releases the configuration or maintains the configuration for potential failure recovery). Discuss if the UE can use also the CHO configuration for which T2 has expired.</w:t>
            </w:r>
          </w:p>
          <w:p w14:paraId="740EF0B4" w14:textId="77777777" w:rsidR="001C6A0B" w:rsidRPr="001C6A0B" w:rsidRDefault="001C6A0B" w:rsidP="001C6A0B">
            <w:pPr>
              <w:numPr>
                <w:ilvl w:val="0"/>
                <w:numId w:val="11"/>
              </w:numPr>
              <w:jc w:val="both"/>
              <w:rPr>
                <w:iCs/>
              </w:rPr>
            </w:pPr>
            <w:r w:rsidRPr="001C6A0B">
              <w:rPr>
                <w:iCs/>
              </w:rPr>
              <w:t xml:space="preserve">Continue online (in week2 CB session) </w:t>
            </w:r>
          </w:p>
          <w:p w14:paraId="7C3529F7" w14:textId="77777777" w:rsidR="001C6A0B" w:rsidRPr="001C6A0B" w:rsidRDefault="001C6A0B" w:rsidP="001C6A0B">
            <w:pPr>
              <w:numPr>
                <w:ilvl w:val="0"/>
                <w:numId w:val="12"/>
              </w:numPr>
              <w:jc w:val="both"/>
              <w:rPr>
                <w:iCs/>
              </w:rPr>
            </w:pPr>
            <w:r w:rsidRPr="001C6A0B">
              <w:rPr>
                <w:iCs/>
              </w:rPr>
              <w:t>VC suggests to attempt the following proposal: "The UE can also use the CHO configuration for which T2 has expired, e.g. when the CHO execution was triggered before T2 and subsequent CHO Recovery is done after T2"</w:t>
            </w:r>
          </w:p>
          <w:p w14:paraId="1E97DD3F" w14:textId="77777777" w:rsidR="001C6A0B" w:rsidRPr="001C6A0B" w:rsidRDefault="001C6A0B" w:rsidP="001C6A0B">
            <w:pPr>
              <w:numPr>
                <w:ilvl w:val="0"/>
                <w:numId w:val="12"/>
              </w:numPr>
              <w:jc w:val="both"/>
              <w:rPr>
                <w:iCs/>
              </w:rPr>
            </w:pPr>
            <w:r w:rsidRPr="001C6A0B">
              <w:rPr>
                <w:iCs/>
              </w:rPr>
              <w:t>Nokia thinks this is aligned to legacy behaviour.</w:t>
            </w:r>
          </w:p>
          <w:p w14:paraId="430F7EBF" w14:textId="77777777" w:rsidR="001C6A0B" w:rsidRPr="001C6A0B" w:rsidRDefault="001C6A0B" w:rsidP="001C6A0B">
            <w:pPr>
              <w:numPr>
                <w:ilvl w:val="0"/>
                <w:numId w:val="11"/>
              </w:numPr>
              <w:jc w:val="both"/>
              <w:rPr>
                <w:iCs/>
              </w:rPr>
            </w:pPr>
            <w:r w:rsidRPr="001C6A0B">
              <w:rPr>
                <w:iCs/>
              </w:rPr>
              <w:t>Come back online in the final CB session on Thursday</w:t>
            </w:r>
          </w:p>
          <w:p w14:paraId="7EEF7873" w14:textId="28CEAB09" w:rsidR="001C6A0B" w:rsidRPr="001C6A0B" w:rsidRDefault="001C6A0B" w:rsidP="00F25591">
            <w:pPr>
              <w:numPr>
                <w:ilvl w:val="0"/>
                <w:numId w:val="11"/>
              </w:numPr>
              <w:jc w:val="both"/>
              <w:rPr>
                <w:iCs/>
              </w:rPr>
            </w:pPr>
            <w:r w:rsidRPr="001C6A0B">
              <w:rPr>
                <w:iCs/>
              </w:rPr>
              <w:t>Come back in the next meeting</w:t>
            </w:r>
          </w:p>
        </w:tc>
      </w:tr>
    </w:tbl>
    <w:p w14:paraId="120F0BFA" w14:textId="77777777" w:rsidR="009871AA" w:rsidRDefault="00D64CC6" w:rsidP="00F25591">
      <w:pPr>
        <w:jc w:val="both"/>
        <w:rPr>
          <w:rFonts w:eastAsia="MS Mincho"/>
        </w:rPr>
      </w:pPr>
      <w:r>
        <w:br/>
      </w:r>
      <w:r w:rsidR="00BE1589">
        <w:t>It was commonly agreeable at RAN2#117 that the NTN UE shall be allowed to use CHO Recovery procedure (as defined in Rel-16 CHO). In this procedure, the UE is allowed to access the selected cell using CHO configuration, if selected cell was a CHO candidate. No CHO condition checking is performed in such CHO Recovery process</w:t>
      </w:r>
      <w:r w:rsidR="00910D3A">
        <w:t>. A</w:t>
      </w:r>
      <w:r w:rsidR="00F25591">
        <w:rPr>
          <w:rFonts w:eastAsia="MS Mincho"/>
        </w:rPr>
        <w:t>s CHO is supported for NTN, it would be straightforward to take advantage of CHO Recovery also for NTN UEs.</w:t>
      </w:r>
    </w:p>
    <w:p w14:paraId="6CED15E6" w14:textId="4F1AC2D9" w:rsidR="009871AA" w:rsidRPr="009871AA" w:rsidRDefault="009871AA" w:rsidP="00F25591">
      <w:pPr>
        <w:jc w:val="both"/>
        <w:rPr>
          <w:rFonts w:eastAsia="MS Mincho"/>
          <w:b/>
          <w:bCs/>
        </w:rPr>
      </w:pPr>
      <w:r w:rsidRPr="009871AA">
        <w:rPr>
          <w:rFonts w:eastAsia="MS Mincho"/>
          <w:b/>
          <w:bCs/>
        </w:rPr>
        <w:t>Observation 1: NTN UEs support CHO, so it is straightforward to allow CHO Recovery when RLF/HOF occurs.</w:t>
      </w:r>
    </w:p>
    <w:p w14:paraId="0D3E35B6" w14:textId="7061A468" w:rsidR="00B070F3" w:rsidRDefault="00F25591" w:rsidP="00F25591">
      <w:pPr>
        <w:jc w:val="both"/>
        <w:rPr>
          <w:rFonts w:eastAsia="MS Mincho"/>
        </w:rPr>
      </w:pPr>
      <w:r>
        <w:rPr>
          <w:rFonts w:eastAsia="MS Mincho"/>
        </w:rPr>
        <w:t xml:space="preserve">That implies the UE may encounter a failure even before time T2 or before distance-based CHO execution happens and be allowed to use CHO configurations for recovery. </w:t>
      </w:r>
      <w:r w:rsidR="00910D3A">
        <w:rPr>
          <w:rFonts w:eastAsia="MS Mincho"/>
        </w:rPr>
        <w:t xml:space="preserve">In our view this is aligned with the legacy </w:t>
      </w:r>
      <w:proofErr w:type="spellStart"/>
      <w:r w:rsidR="00910D3A">
        <w:rPr>
          <w:rFonts w:eastAsia="MS Mincho"/>
        </w:rPr>
        <w:t>behavior</w:t>
      </w:r>
      <w:proofErr w:type="spellEnd"/>
      <w:r w:rsidR="00910D3A">
        <w:rPr>
          <w:rFonts w:eastAsia="MS Mincho"/>
        </w:rPr>
        <w:t xml:space="preserve">. That is why at RAN2#117 we </w:t>
      </w:r>
      <w:r w:rsidR="009871AA">
        <w:rPr>
          <w:rFonts w:eastAsia="MS Mincho"/>
        </w:rPr>
        <w:t>have supported</w:t>
      </w:r>
      <w:r w:rsidR="00910D3A">
        <w:rPr>
          <w:rFonts w:eastAsia="MS Mincho"/>
        </w:rPr>
        <w:t xml:space="preserve"> what is outlined in the box above: “</w:t>
      </w:r>
      <w:r w:rsidR="00910D3A" w:rsidRPr="001C6A0B">
        <w:rPr>
          <w:i/>
        </w:rPr>
        <w:t>The UE can also use the CHO configuration for which T2 has expired, e.g. when the CHO execution was triggered before T2 and subsequent CHO Recovery is done after T2</w:t>
      </w:r>
      <w:r w:rsidR="00910D3A">
        <w:rPr>
          <w:rFonts w:eastAsia="MS Mincho"/>
        </w:rPr>
        <w:t>”</w:t>
      </w:r>
      <w:r w:rsidR="00B070F3">
        <w:rPr>
          <w:rFonts w:eastAsia="MS Mincho"/>
        </w:rPr>
        <w:t>.</w:t>
      </w:r>
    </w:p>
    <w:p w14:paraId="554A4832" w14:textId="563F2727" w:rsidR="009871AA" w:rsidRPr="00C810F7" w:rsidRDefault="009871AA" w:rsidP="00F25591">
      <w:pPr>
        <w:jc w:val="both"/>
        <w:rPr>
          <w:rFonts w:eastAsia="MS Mincho"/>
          <w:b/>
          <w:bCs/>
        </w:rPr>
      </w:pPr>
      <w:r w:rsidRPr="00C810F7">
        <w:rPr>
          <w:rFonts w:eastAsia="MS Mincho"/>
          <w:b/>
          <w:bCs/>
        </w:rPr>
        <w:t>Observation 2: The UE may</w:t>
      </w:r>
      <w:r w:rsidR="00C810F7" w:rsidRPr="00C810F7">
        <w:rPr>
          <w:rFonts w:eastAsia="MS Mincho"/>
          <w:b/>
          <w:bCs/>
        </w:rPr>
        <w:t xml:space="preserve"> trigger CHO before T2 and fail or experience RLF just before T2. In such circumstances, it shall be allowed to use CHO configurations during recovery. </w:t>
      </w:r>
    </w:p>
    <w:p w14:paraId="2B219E3B" w14:textId="50B1EFD3" w:rsidR="00F25591" w:rsidRDefault="00F25591" w:rsidP="00F25591">
      <w:pPr>
        <w:jc w:val="both"/>
        <w:rPr>
          <w:rFonts w:eastAsia="MS Mincho"/>
        </w:rPr>
      </w:pPr>
      <w:r>
        <w:rPr>
          <w:rFonts w:eastAsia="MS Mincho"/>
        </w:rPr>
        <w:lastRenderedPageBreak/>
        <w:t>I</w:t>
      </w:r>
      <w:r w:rsidR="00CC526E">
        <w:rPr>
          <w:rFonts w:eastAsia="MS Mincho"/>
        </w:rPr>
        <w:t xml:space="preserve">t seems to be </w:t>
      </w:r>
      <w:r>
        <w:rPr>
          <w:rFonts w:eastAsia="MS Mincho"/>
        </w:rPr>
        <w:t xml:space="preserve">more desirable to </w:t>
      </w:r>
      <w:r w:rsidR="009871AA">
        <w:rPr>
          <w:rFonts w:eastAsia="MS Mincho"/>
        </w:rPr>
        <w:t>attempt</w:t>
      </w:r>
      <w:r>
        <w:rPr>
          <w:rFonts w:eastAsia="MS Mincho"/>
        </w:rPr>
        <w:t xml:space="preserve"> recover</w:t>
      </w:r>
      <w:r w:rsidR="009871AA">
        <w:rPr>
          <w:rFonts w:eastAsia="MS Mincho"/>
        </w:rPr>
        <w:t>y</w:t>
      </w:r>
      <w:r>
        <w:rPr>
          <w:rFonts w:eastAsia="MS Mincho"/>
        </w:rPr>
        <w:t xml:space="preserve"> via CHO than to re-establish the link</w:t>
      </w:r>
      <w:r w:rsidR="00CC526E">
        <w:rPr>
          <w:rFonts w:eastAsia="MS Mincho"/>
        </w:rPr>
        <w:t xml:space="preserve"> entirely</w:t>
      </w:r>
      <w:r>
        <w:rPr>
          <w:rFonts w:eastAsia="MS Mincho"/>
        </w:rPr>
        <w:t xml:space="preserve"> upon RLF</w:t>
      </w:r>
      <w:r w:rsidR="00CC526E">
        <w:rPr>
          <w:rFonts w:eastAsia="MS Mincho"/>
        </w:rPr>
        <w:t>/HOF, even slightly after time T2</w:t>
      </w:r>
      <w:r>
        <w:rPr>
          <w:rFonts w:eastAsia="MS Mincho"/>
        </w:rPr>
        <w:t>.</w:t>
      </w:r>
      <w:r w:rsidR="00CC526E">
        <w:rPr>
          <w:rFonts w:eastAsia="MS Mincho"/>
        </w:rPr>
        <w:t xml:space="preserve"> That is why we think the scenario above is acceptable, as the </w:t>
      </w:r>
      <w:r>
        <w:rPr>
          <w:rFonts w:eastAsia="MS Mincho"/>
        </w:rPr>
        <w:t xml:space="preserve">CHO candidate still needs to be chosen in the process of cell selection (as per legacy CHO Recovery).  </w:t>
      </w:r>
    </w:p>
    <w:p w14:paraId="790F93D5" w14:textId="206D5231" w:rsidR="0042162A" w:rsidRDefault="00F25591" w:rsidP="00F25591">
      <w:pPr>
        <w:jc w:val="both"/>
        <w:rPr>
          <w:rFonts w:eastAsia="MS Mincho"/>
          <w:b/>
          <w:bCs/>
        </w:rPr>
      </w:pPr>
      <w:r w:rsidRPr="00852F91">
        <w:rPr>
          <w:b/>
          <w:bCs/>
        </w:rPr>
        <w:t xml:space="preserve">Proposal </w:t>
      </w:r>
      <w:r>
        <w:rPr>
          <w:b/>
          <w:bCs/>
        </w:rPr>
        <w:t>1</w:t>
      </w:r>
      <w:r w:rsidRPr="00852F91">
        <w:rPr>
          <w:b/>
          <w:bCs/>
        </w:rPr>
        <w:t>: I</w:t>
      </w:r>
      <w:r w:rsidRPr="00852F91">
        <w:rPr>
          <w:rFonts w:eastAsia="MS Mincho"/>
          <w:b/>
          <w:bCs/>
        </w:rPr>
        <w:t xml:space="preserve">f the UE does not </w:t>
      </w:r>
      <w:r w:rsidR="003B09D9">
        <w:rPr>
          <w:rFonts w:eastAsia="MS Mincho"/>
          <w:b/>
          <w:bCs/>
        </w:rPr>
        <w:t xml:space="preserve">successfully </w:t>
      </w:r>
      <w:r w:rsidRPr="00852F91">
        <w:rPr>
          <w:rFonts w:eastAsia="MS Mincho"/>
          <w:b/>
          <w:bCs/>
        </w:rPr>
        <w:t>execute CHO until T2</w:t>
      </w:r>
      <w:r w:rsidR="00CC526E">
        <w:rPr>
          <w:rFonts w:eastAsia="MS Mincho"/>
          <w:b/>
          <w:bCs/>
        </w:rPr>
        <w:t xml:space="preserve">, </w:t>
      </w:r>
      <w:r w:rsidRPr="00852F91">
        <w:rPr>
          <w:rFonts w:eastAsia="MS Mincho"/>
          <w:b/>
          <w:bCs/>
        </w:rPr>
        <w:t>until distance-based condition is met</w:t>
      </w:r>
      <w:r w:rsidR="00CC526E">
        <w:rPr>
          <w:rFonts w:eastAsia="MS Mincho"/>
          <w:b/>
          <w:bCs/>
        </w:rPr>
        <w:t xml:space="preserve"> or</w:t>
      </w:r>
      <w:r w:rsidR="003B09D9">
        <w:rPr>
          <w:rFonts w:eastAsia="MS Mincho"/>
          <w:b/>
          <w:bCs/>
        </w:rPr>
        <w:t xml:space="preserve"> if the UE</w:t>
      </w:r>
      <w:r w:rsidR="00CC526E">
        <w:rPr>
          <w:rFonts w:eastAsia="MS Mincho"/>
          <w:b/>
          <w:bCs/>
        </w:rPr>
        <w:t xml:space="preserve"> encounters RLF/HOF before T2</w:t>
      </w:r>
      <w:r w:rsidR="003B09D9">
        <w:rPr>
          <w:rFonts w:eastAsia="MS Mincho"/>
          <w:b/>
          <w:bCs/>
        </w:rPr>
        <w:t>,</w:t>
      </w:r>
      <w:r w:rsidRPr="00852F91">
        <w:rPr>
          <w:rFonts w:eastAsia="MS Mincho"/>
          <w:b/>
          <w:bCs/>
        </w:rPr>
        <w:t xml:space="preserve"> but was configured for CHO Recovery</w:t>
      </w:r>
      <w:r w:rsidR="009871AA">
        <w:rPr>
          <w:rFonts w:eastAsia="MS Mincho"/>
          <w:b/>
          <w:bCs/>
        </w:rPr>
        <w:t>,</w:t>
      </w:r>
      <w:r w:rsidRPr="00852F91">
        <w:rPr>
          <w:rFonts w:eastAsia="MS Mincho"/>
          <w:b/>
          <w:bCs/>
        </w:rPr>
        <w:t xml:space="preserve"> the UE keeps the CHO configurations</w:t>
      </w:r>
      <w:r w:rsidR="009871AA">
        <w:rPr>
          <w:rFonts w:eastAsia="MS Mincho"/>
          <w:b/>
          <w:bCs/>
        </w:rPr>
        <w:t xml:space="preserve"> beyond T2 and attempts CHO Recovery</w:t>
      </w:r>
      <w:r w:rsidRPr="00852F91">
        <w:rPr>
          <w:rFonts w:eastAsia="MS Mincho"/>
          <w:b/>
          <w:bCs/>
        </w:rPr>
        <w:t xml:space="preserve">. </w:t>
      </w:r>
    </w:p>
    <w:p w14:paraId="1C3A0383" w14:textId="693761F2" w:rsidR="00D308E0" w:rsidRDefault="00D308E0">
      <w:pPr>
        <w:pStyle w:val="Heading2"/>
      </w:pPr>
      <w:r>
        <w:t>2.2 Using delta</w:t>
      </w:r>
      <w:r w:rsidR="008B7F47">
        <w:t xml:space="preserve"> configuration for neighbour’s ephemeris</w:t>
      </w:r>
    </w:p>
    <w:p w14:paraId="09085EB1" w14:textId="43AEBC32" w:rsidR="00D308E0" w:rsidRDefault="00164F60" w:rsidP="00D308E0">
      <w:r>
        <w:t xml:space="preserve">This topic has been briefly discussed at RAN2#117, but postponed to next meeting and claimed to require RAN1 feedback. The following can be found in the meeting minutes </w:t>
      </w:r>
      <w:r>
        <w:fldChar w:fldCharType="begin"/>
      </w:r>
      <w:r>
        <w:instrText xml:space="preserve"> REF _Ref100826006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164F60" w14:paraId="0A42C924" w14:textId="77777777" w:rsidTr="00164F60">
        <w:tc>
          <w:tcPr>
            <w:tcW w:w="9631" w:type="dxa"/>
          </w:tcPr>
          <w:p w14:paraId="082730BE" w14:textId="77777777" w:rsidR="00164F60" w:rsidRPr="00164F60" w:rsidRDefault="00164F60" w:rsidP="00164F60">
            <w:pPr>
              <w:pStyle w:val="Comments"/>
              <w:rPr>
                <w:noProof w:val="0"/>
                <w:sz w:val="20"/>
                <w:szCs w:val="20"/>
              </w:rPr>
            </w:pPr>
            <w:r w:rsidRPr="00164F60">
              <w:rPr>
                <w:noProof w:val="0"/>
                <w:sz w:val="20"/>
                <w:szCs w:val="20"/>
              </w:rPr>
              <w:t>[7/11] Proposal 7: Support delta configuration of neighbour cell ephemeris information based on the ephemeris information of the serving cell.</w:t>
            </w:r>
          </w:p>
          <w:p w14:paraId="628591DC" w14:textId="77777777" w:rsidR="00164F60" w:rsidRPr="00164F60" w:rsidRDefault="00164F60" w:rsidP="00164F60">
            <w:pPr>
              <w:pStyle w:val="Doc-text2"/>
              <w:numPr>
                <w:ilvl w:val="0"/>
                <w:numId w:val="12"/>
              </w:numPr>
              <w:rPr>
                <w:szCs w:val="20"/>
              </w:rPr>
            </w:pPr>
            <w:proofErr w:type="spellStart"/>
            <w:r w:rsidRPr="00164F60">
              <w:rPr>
                <w:szCs w:val="20"/>
              </w:rPr>
              <w:t>Mediatek</w:t>
            </w:r>
            <w:proofErr w:type="spellEnd"/>
            <w:r w:rsidRPr="00164F60">
              <w:rPr>
                <w:szCs w:val="20"/>
              </w:rPr>
              <w:t xml:space="preserve"> thinks this is an unnecessary optimization</w:t>
            </w:r>
          </w:p>
          <w:p w14:paraId="39397E89" w14:textId="77777777" w:rsidR="00164F60" w:rsidRPr="00164F60" w:rsidRDefault="00164F60" w:rsidP="00164F60">
            <w:pPr>
              <w:pStyle w:val="Doc-text2"/>
              <w:numPr>
                <w:ilvl w:val="0"/>
                <w:numId w:val="12"/>
              </w:numPr>
              <w:rPr>
                <w:szCs w:val="20"/>
              </w:rPr>
            </w:pPr>
            <w:r w:rsidRPr="00164F60">
              <w:rPr>
                <w:szCs w:val="20"/>
              </w:rPr>
              <w:t>Oppo does not know whether this is feasible or not and suggests to wait for RAN1.</w:t>
            </w:r>
          </w:p>
          <w:p w14:paraId="6DB830E6" w14:textId="77777777" w:rsidR="00164F60" w:rsidRPr="00164F60" w:rsidRDefault="00164F60" w:rsidP="00164F60">
            <w:pPr>
              <w:pStyle w:val="Doc-text2"/>
              <w:numPr>
                <w:ilvl w:val="0"/>
                <w:numId w:val="11"/>
              </w:numPr>
              <w:rPr>
                <w:szCs w:val="20"/>
              </w:rPr>
            </w:pPr>
            <w:r w:rsidRPr="00164F60">
              <w:rPr>
                <w:szCs w:val="20"/>
              </w:rPr>
              <w:t>Continue online</w:t>
            </w:r>
          </w:p>
          <w:p w14:paraId="34B7CD11" w14:textId="2FA2D4AF" w:rsidR="00164F60" w:rsidRPr="00164F60" w:rsidRDefault="00164F60" w:rsidP="00D308E0">
            <w:pPr>
              <w:pStyle w:val="Doc-text2"/>
              <w:numPr>
                <w:ilvl w:val="0"/>
                <w:numId w:val="11"/>
              </w:numPr>
              <w:rPr>
                <w:szCs w:val="20"/>
              </w:rPr>
            </w:pPr>
            <w:r w:rsidRPr="00164F60">
              <w:rPr>
                <w:szCs w:val="20"/>
              </w:rPr>
              <w:t xml:space="preserve">Re-discuss this after RAN1 feedback. </w:t>
            </w:r>
          </w:p>
        </w:tc>
      </w:tr>
    </w:tbl>
    <w:p w14:paraId="06F1B456" w14:textId="4485C74E" w:rsidR="00BA36C2" w:rsidRDefault="00164F60" w:rsidP="009075F4">
      <w:pPr>
        <w:jc w:val="both"/>
      </w:pPr>
      <w:r>
        <w:br/>
      </w:r>
      <w:r w:rsidR="001B6B6C">
        <w:t xml:space="preserve">The support for enabling such signalling was not minor, although there were some concerns and questions raised. </w:t>
      </w:r>
      <w:r w:rsidR="00BA36C2">
        <w:t xml:space="preserve">However, when considering the cells from the same satellite or even orbit, a lot of parameters may be </w:t>
      </w:r>
      <w:r w:rsidR="007C4D84">
        <w:t>possibl</w:t>
      </w:r>
      <w:r w:rsidR="009E7302">
        <w:t>y</w:t>
      </w:r>
      <w:r w:rsidR="007C4D84">
        <w:t xml:space="preserve"> </w:t>
      </w:r>
      <w:r w:rsidR="00BA36C2">
        <w:t>shared between cells, Thus, it appears to be suboptimal to always provide these using full configuration</w:t>
      </w:r>
      <w:r w:rsidR="009E7302">
        <w:t xml:space="preserve"> for each cell </w:t>
      </w:r>
      <w:r w:rsidR="003B09D9">
        <w:t>separately</w:t>
      </w:r>
      <w:r w:rsidR="00BA36C2">
        <w:t xml:space="preserve">. </w:t>
      </w:r>
    </w:p>
    <w:p w14:paraId="25CD751E" w14:textId="670D0D58" w:rsidR="00164F60" w:rsidRPr="00BA36C2" w:rsidRDefault="00BA36C2" w:rsidP="009075F4">
      <w:pPr>
        <w:jc w:val="both"/>
        <w:rPr>
          <w:b/>
          <w:bCs/>
        </w:rPr>
      </w:pPr>
      <w:r w:rsidRPr="00BA36C2">
        <w:rPr>
          <w:b/>
          <w:bCs/>
        </w:rPr>
        <w:t>Observation 3: Ephemeris parameters for the cells from the same satellite, orbit or constellation may be largely the same. Using delta configuration can reduce the number of bits.</w:t>
      </w:r>
    </w:p>
    <w:p w14:paraId="7AC5DB4E" w14:textId="650BE0ED" w:rsidR="00BA36C2" w:rsidRDefault="00A8337D" w:rsidP="009075F4">
      <w:pPr>
        <w:jc w:val="both"/>
      </w:pPr>
      <w:r>
        <w:t xml:space="preserve">The ephemeris has been included in </w:t>
      </w:r>
      <w:r w:rsidRPr="00792326">
        <w:rPr>
          <w:i/>
          <w:iCs/>
        </w:rPr>
        <w:t>NTN-Config</w:t>
      </w:r>
      <w:r>
        <w:t xml:space="preserve"> information element (IE), to be broadcast in SIB-</w:t>
      </w:r>
      <w:r w:rsidR="008C7CC8">
        <w:t>19</w:t>
      </w:r>
      <w:r w:rsidR="00792326">
        <w:t xml:space="preserve"> see </w:t>
      </w:r>
      <w:r w:rsidR="00792326">
        <w:fldChar w:fldCharType="begin"/>
      </w:r>
      <w:r w:rsidR="00792326">
        <w:instrText xml:space="preserve"> REF _Ref100834852 \r \h </w:instrText>
      </w:r>
      <w:r w:rsidR="009075F4">
        <w:instrText xml:space="preserve"> \* MERGEFORMAT </w:instrText>
      </w:r>
      <w:r w:rsidR="00792326">
        <w:fldChar w:fldCharType="separate"/>
      </w:r>
      <w:r w:rsidR="00792326">
        <w:t>[3]</w:t>
      </w:r>
      <w:r w:rsidR="00792326">
        <w:fldChar w:fldCharType="end"/>
      </w:r>
      <w:r>
        <w:t>.</w:t>
      </w:r>
      <w:r w:rsidR="00792326">
        <w:t xml:space="preserve"> </w:t>
      </w:r>
      <w:r w:rsidR="009C7B06">
        <w:t xml:space="preserve">Among the others, it comprises the </w:t>
      </w:r>
      <w:r w:rsidR="009C7B06" w:rsidRPr="009C7B06">
        <w:rPr>
          <w:i/>
          <w:iCs/>
        </w:rPr>
        <w:t>EphemerisInfo-r17</w:t>
      </w:r>
      <w:r w:rsidR="009C7B06">
        <w:t xml:space="preserve"> which includes orbital and PVT parameters. </w:t>
      </w:r>
      <w:r w:rsidR="002A290A">
        <w:t>Many neighbour satellites can share the same orbital parameters, so there might be an indication – either in SIB-</w:t>
      </w:r>
      <w:r w:rsidR="008C7CC8">
        <w:t>19</w:t>
      </w:r>
      <w:r w:rsidR="002A290A">
        <w:t xml:space="preserve"> or in SIB3 (for intra-frequency neighbours) or in SIB4 </w:t>
      </w:r>
      <w:r w:rsidR="00066107">
        <w:t xml:space="preserve">(for inter-frequency neighbours) that orbital parameters are the same as for the serving cell (i.e. </w:t>
      </w:r>
      <w:r w:rsidR="00505E90">
        <w:t xml:space="preserve">signalled in SIB-NTN via </w:t>
      </w:r>
      <w:r w:rsidR="00505E90" w:rsidRPr="00505E90">
        <w:rPr>
          <w:i/>
          <w:iCs/>
        </w:rPr>
        <w:t>Orbital-r17</w:t>
      </w:r>
      <w:r w:rsidR="00505E90">
        <w:t>)</w:t>
      </w:r>
      <w:r w:rsidR="00D57A72">
        <w:t>.</w:t>
      </w:r>
    </w:p>
    <w:p w14:paraId="7F7F6925" w14:textId="13C0C0B6" w:rsidR="00D57A72" w:rsidRPr="009D4232" w:rsidRDefault="00D57A72" w:rsidP="009075F4">
      <w:pPr>
        <w:jc w:val="both"/>
        <w:rPr>
          <w:b/>
          <w:bCs/>
        </w:rPr>
      </w:pPr>
      <w:r w:rsidRPr="009D4232">
        <w:rPr>
          <w:b/>
          <w:bCs/>
        </w:rPr>
        <w:t>Proposal 2:</w:t>
      </w:r>
      <w:r w:rsidR="00C47277" w:rsidRPr="009D4232">
        <w:rPr>
          <w:b/>
          <w:bCs/>
        </w:rPr>
        <w:t xml:space="preserve"> The satellites</w:t>
      </w:r>
      <w:r w:rsidR="009D4232">
        <w:rPr>
          <w:b/>
          <w:bCs/>
        </w:rPr>
        <w:t xml:space="preserve"> and neighbour cells</w:t>
      </w:r>
      <w:r w:rsidR="00C47277" w:rsidRPr="009D4232">
        <w:rPr>
          <w:b/>
          <w:bCs/>
        </w:rPr>
        <w:t xml:space="preserve"> which may reuse </w:t>
      </w:r>
      <w:r w:rsidR="008C7CC8">
        <w:rPr>
          <w:b/>
          <w:bCs/>
        </w:rPr>
        <w:t xml:space="preserve">at least </w:t>
      </w:r>
      <w:r w:rsidR="000F490A">
        <w:rPr>
          <w:b/>
          <w:bCs/>
        </w:rPr>
        <w:t>a sub-set of the</w:t>
      </w:r>
      <w:r w:rsidR="00C47277" w:rsidRPr="009D4232">
        <w:rPr>
          <w:b/>
          <w:bCs/>
        </w:rPr>
        <w:t xml:space="preserve"> orbital parameters from </w:t>
      </w:r>
      <w:r w:rsidR="00C47277" w:rsidRPr="009D4232">
        <w:rPr>
          <w:b/>
          <w:bCs/>
          <w:i/>
          <w:iCs/>
        </w:rPr>
        <w:t>EphemerisInfo-r17</w:t>
      </w:r>
      <w:r w:rsidR="009D4232" w:rsidRPr="009D4232">
        <w:rPr>
          <w:b/>
          <w:bCs/>
          <w:i/>
          <w:iCs/>
        </w:rPr>
        <w:t xml:space="preserve"> of the serving cell are indicated in SIB3 (</w:t>
      </w:r>
      <w:r w:rsidR="009D4232" w:rsidRPr="009D4232">
        <w:rPr>
          <w:b/>
          <w:bCs/>
        </w:rPr>
        <w:t>for intra-frequency neighbours</w:t>
      </w:r>
      <w:r w:rsidR="009D4232" w:rsidRPr="009D4232">
        <w:rPr>
          <w:b/>
          <w:bCs/>
          <w:i/>
          <w:iCs/>
        </w:rPr>
        <w:t>) or SIB4 (</w:t>
      </w:r>
      <w:r w:rsidR="009D4232" w:rsidRPr="009D4232">
        <w:rPr>
          <w:b/>
          <w:bCs/>
        </w:rPr>
        <w:t>for inter-frequency neighbours</w:t>
      </w:r>
      <w:r w:rsidR="009D4232" w:rsidRPr="009D4232">
        <w:rPr>
          <w:b/>
          <w:bCs/>
          <w:i/>
          <w:iCs/>
        </w:rPr>
        <w:t>)</w:t>
      </w:r>
      <w:r w:rsidR="00C47277" w:rsidRPr="009D4232">
        <w:rPr>
          <w:b/>
          <w:bCs/>
        </w:rPr>
        <w:t>.</w:t>
      </w:r>
    </w:p>
    <w:p w14:paraId="5AA02866" w14:textId="73B9A292" w:rsidR="00D57A72" w:rsidRDefault="00D57A72" w:rsidP="009075F4">
      <w:pPr>
        <w:jc w:val="both"/>
      </w:pPr>
      <w:r>
        <w:t>The associated signalling may look as follows:</w:t>
      </w:r>
    </w:p>
    <w:p w14:paraId="4275D780" w14:textId="4B38D5B2" w:rsid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sidRPr="009B2ACB">
        <w:rPr>
          <w:rFonts w:ascii="Courier New" w:hAnsi="Courier New"/>
          <w:sz w:val="16"/>
          <w:lang w:eastAsia="en-GB"/>
        </w:rPr>
        <w:t>IntraFreqNeighCellInfo</w:t>
      </w:r>
      <w:r>
        <w:rPr>
          <w:rFonts w:ascii="Courier New" w:hAnsi="Courier New"/>
          <w:sz w:val="16"/>
          <w:lang w:eastAsia="en-GB"/>
        </w:rPr>
        <w:t>-v1700</w:t>
      </w:r>
      <w:r w:rsidRPr="009B2ACB">
        <w:rPr>
          <w:rFonts w:ascii="Courier New" w:hAnsi="Courier New"/>
          <w:sz w:val="16"/>
          <w:lang w:eastAsia="en-GB"/>
        </w:rPr>
        <w:t>:: =          SEQUENCE {</w:t>
      </w:r>
    </w:p>
    <w:p w14:paraId="4FCDCBC9" w14:textId="5A4AE61A" w:rsid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reuseServingCellEphemeris</w:t>
      </w:r>
      <w:proofErr w:type="spellEnd"/>
      <w:r>
        <w:rPr>
          <w:rFonts w:ascii="Courier New" w:hAnsi="Courier New"/>
          <w:sz w:val="16"/>
          <w:lang w:eastAsia="en-GB"/>
        </w:rPr>
        <w:t>:: =</w:t>
      </w:r>
      <w:r>
        <w:rPr>
          <w:rFonts w:ascii="Courier New" w:hAnsi="Courier New"/>
          <w:sz w:val="16"/>
          <w:lang w:eastAsia="en-GB"/>
        </w:rPr>
        <w:tab/>
        <w:t>SEQUENCE {</w:t>
      </w:r>
    </w:p>
    <w:p w14:paraId="1B5080F6" w14:textId="5EB1C41A" w:rsid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physCellID</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PhysCellId</w:t>
      </w:r>
      <w:proofErr w:type="spellEnd"/>
      <w:r>
        <w:rPr>
          <w:rFonts w:ascii="Courier New" w:hAnsi="Courier New"/>
          <w:sz w:val="16"/>
          <w:lang w:eastAsia="en-GB"/>
        </w:rPr>
        <w:t>,</w:t>
      </w:r>
    </w:p>
    <w:p w14:paraId="27BC65E4" w14:textId="4083210B" w:rsid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satelliteIndex</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(1..maxNumSatellites)</w:t>
      </w:r>
    </w:p>
    <w:p w14:paraId="08356A49" w14:textId="18BB4E32" w:rsid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Pr>
          <w:rFonts w:ascii="Courier New" w:hAnsi="Courier New"/>
          <w:sz w:val="16"/>
          <w:lang w:eastAsia="en-GB"/>
        </w:rPr>
        <w:tab/>
        <w:t>}</w:t>
      </w:r>
    </w:p>
    <w:p w14:paraId="48C82001" w14:textId="016AB0C2" w:rsidR="009B2ACB" w:rsidRPr="009B2ACB" w:rsidRDefault="009B2ACB" w:rsidP="009B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en-GB"/>
        </w:rPr>
      </w:pPr>
      <w:r>
        <w:rPr>
          <w:rFonts w:ascii="Courier New" w:hAnsi="Courier New"/>
          <w:sz w:val="16"/>
          <w:lang w:eastAsia="en-GB"/>
        </w:rPr>
        <w:t>}</w:t>
      </w:r>
    </w:p>
    <w:p w14:paraId="339EA12B" w14:textId="142C08CB" w:rsidR="00D57A72" w:rsidRPr="00D308E0" w:rsidRDefault="008C7CC8" w:rsidP="00D308E0">
      <w:r>
        <w:t>It may be further specified which parameters can be reused and which shall be signalled individually.</w:t>
      </w:r>
    </w:p>
    <w:p w14:paraId="5E6AD97D" w14:textId="1A76A1DB" w:rsidR="009B2ACB" w:rsidRDefault="009B2ACB">
      <w:pPr>
        <w:pStyle w:val="Heading2"/>
      </w:pPr>
      <w:r>
        <w:t xml:space="preserve">2.3 </w:t>
      </w:r>
      <w:r w:rsidR="00035835">
        <w:t>UE location information</w:t>
      </w:r>
      <w:r w:rsidR="00BC3B0B">
        <w:t xml:space="preserve"> reporting</w:t>
      </w:r>
    </w:p>
    <w:p w14:paraId="5EAA80EE" w14:textId="6C5A224E" w:rsidR="009B2ACB" w:rsidRDefault="008841DE" w:rsidP="009B2ACB">
      <w:r>
        <w:t>Regarding the never-ending topic of ‘coarse UE location reporting’, the following has been decided at RAN2</w:t>
      </w:r>
      <w:r w:rsidRPr="008841DE">
        <w:t>#</w:t>
      </w:r>
      <w:r>
        <w:t xml:space="preserve">117 </w:t>
      </w:r>
      <w:r>
        <w:fldChar w:fldCharType="begin"/>
      </w:r>
      <w:r>
        <w:instrText xml:space="preserve"> REF _Ref100826006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8841DE" w14:paraId="4C1FE071" w14:textId="77777777" w:rsidTr="008841DE">
        <w:tc>
          <w:tcPr>
            <w:tcW w:w="9631" w:type="dxa"/>
          </w:tcPr>
          <w:p w14:paraId="750B4340" w14:textId="24FC4B17" w:rsidR="008841DE" w:rsidRDefault="00EB2DB5" w:rsidP="00EB2DB5">
            <w:r>
              <w:t>Agreements:</w:t>
            </w:r>
            <w:r>
              <w:br/>
              <w:t>1.</w:t>
            </w:r>
            <w: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p>
        </w:tc>
      </w:tr>
    </w:tbl>
    <w:p w14:paraId="30F5C2E3" w14:textId="692EEC7F" w:rsidR="00C82DAA" w:rsidRDefault="00040217" w:rsidP="009075F4">
      <w:pPr>
        <w:jc w:val="both"/>
      </w:pPr>
      <w:r>
        <w:lastRenderedPageBreak/>
        <w:br/>
        <w:t xml:space="preserve">The final LS has been sent in </w:t>
      </w:r>
      <w:r>
        <w:fldChar w:fldCharType="begin"/>
      </w:r>
      <w:r>
        <w:instrText xml:space="preserve"> REF _Ref100839445 \r \h </w:instrText>
      </w:r>
      <w:r w:rsidR="009075F4">
        <w:instrText xml:space="preserve"> \* MERGEFORMAT </w:instrText>
      </w:r>
      <w:r>
        <w:fldChar w:fldCharType="separate"/>
      </w:r>
      <w:r>
        <w:t>[4]</w:t>
      </w:r>
      <w:r>
        <w:fldChar w:fldCharType="end"/>
      </w:r>
      <w:r>
        <w:t>. The biggest concerns during the RAN2#117 meeting were on the user consent that, according to some companies, shall still be given, even if UE location reporting occurs in CONNECTED mode (i.e. when AS security is established) and</w:t>
      </w:r>
      <w:r w:rsidR="00C82DAA">
        <w:t xml:space="preserve"> the UE reports coarse location, not the full location information.</w:t>
      </w:r>
    </w:p>
    <w:p w14:paraId="58E2EA65" w14:textId="65544D16" w:rsidR="008841DE" w:rsidRPr="00357745" w:rsidRDefault="00C82DAA" w:rsidP="009075F4">
      <w:pPr>
        <w:jc w:val="both"/>
        <w:rPr>
          <w:b/>
          <w:bCs/>
        </w:rPr>
      </w:pPr>
      <w:r w:rsidRPr="00357745">
        <w:rPr>
          <w:b/>
          <w:bCs/>
        </w:rPr>
        <w:t xml:space="preserve">Observation 4: As per RAN2#117 discussion user consent needs to be given also for coarse location reporting in RRC_CONNECTED mode. </w:t>
      </w:r>
    </w:p>
    <w:p w14:paraId="243DA218" w14:textId="3232979A" w:rsidR="00955972" w:rsidRDefault="00357745" w:rsidP="009075F4">
      <w:pPr>
        <w:jc w:val="both"/>
      </w:pPr>
      <w:r>
        <w:t xml:space="preserve">So far we have not received any SA3 LS regarding NR NTN, which will resolve RAN2 doubts. However, there is an LS for </w:t>
      </w:r>
      <w:r w:rsidR="00955972">
        <w:t>LTE/IoT, where the following is indicated</w:t>
      </w:r>
      <w:r w:rsidR="004B455C">
        <w:t xml:space="preserve"> </w:t>
      </w:r>
      <w:r w:rsidR="004B455C">
        <w:fldChar w:fldCharType="begin"/>
      </w:r>
      <w:r w:rsidR="004B455C">
        <w:instrText xml:space="preserve"> REF _Ref100840783 \r \h </w:instrText>
      </w:r>
      <w:r w:rsidR="009075F4">
        <w:instrText xml:space="preserve"> \* MERGEFORMAT </w:instrText>
      </w:r>
      <w:r w:rsidR="004B455C">
        <w:fldChar w:fldCharType="separate"/>
      </w:r>
      <w:r w:rsidR="004B455C">
        <w:t>[5]</w:t>
      </w:r>
      <w:r w:rsidR="004B455C">
        <w:fldChar w:fldCharType="end"/>
      </w:r>
      <w:r w:rsidR="00955972">
        <w:t>:</w:t>
      </w:r>
      <w:r w:rsidR="004B455C">
        <w:t xml:space="preserve"> </w:t>
      </w:r>
      <w:r w:rsidR="004B455C" w:rsidRPr="004B455C">
        <w:rPr>
          <w:i/>
          <w:iCs/>
        </w:rPr>
        <w:t>After NAS security is established, no security concerns seen in sharing coarse grained location</w:t>
      </w:r>
      <w:r w:rsidR="005307CA" w:rsidRPr="005307CA">
        <w:t xml:space="preserve"> </w:t>
      </w:r>
      <w:r w:rsidR="005307CA" w:rsidRPr="005307CA">
        <w:rPr>
          <w:i/>
          <w:iCs/>
        </w:rPr>
        <w:t>such as CGI is provided in the ULI to the MME</w:t>
      </w:r>
      <w:r w:rsidR="004B455C">
        <w:t>.</w:t>
      </w:r>
      <w:r w:rsidR="00546339">
        <w:t xml:space="preserve"> </w:t>
      </w:r>
      <w:r w:rsidR="005307CA">
        <w:t>That does not address our concerns as it relates to ULI and the entire LS is for NTN IoT.</w:t>
      </w:r>
    </w:p>
    <w:p w14:paraId="29A180C7" w14:textId="0485C4B4" w:rsidR="00546339" w:rsidRPr="00BC3B0B" w:rsidRDefault="005307CA" w:rsidP="009075F4">
      <w:pPr>
        <w:jc w:val="both"/>
        <w:rPr>
          <w:b/>
          <w:bCs/>
        </w:rPr>
      </w:pPr>
      <w:r>
        <w:rPr>
          <w:b/>
          <w:bCs/>
        </w:rPr>
        <w:t>Observation</w:t>
      </w:r>
      <w:r w:rsidR="00546339" w:rsidRPr="00BC3B0B">
        <w:rPr>
          <w:b/>
          <w:bCs/>
        </w:rPr>
        <w:t xml:space="preserve"> </w:t>
      </w:r>
      <w:r>
        <w:rPr>
          <w:b/>
          <w:bCs/>
        </w:rPr>
        <w:t>5</w:t>
      </w:r>
      <w:r w:rsidR="00546339" w:rsidRPr="00BC3B0B">
        <w:rPr>
          <w:b/>
          <w:bCs/>
        </w:rPr>
        <w:t xml:space="preserve">: </w:t>
      </w:r>
      <w:r>
        <w:rPr>
          <w:b/>
          <w:bCs/>
        </w:rPr>
        <w:t>SA3 LS in</w:t>
      </w:r>
      <w:r w:rsidR="00546339" w:rsidRPr="00BC3B0B">
        <w:rPr>
          <w:b/>
          <w:bCs/>
        </w:rPr>
        <w:t xml:space="preserve"> </w:t>
      </w:r>
      <w:r w:rsidR="00BC3B0B" w:rsidRPr="00BC3B0B">
        <w:rPr>
          <w:b/>
          <w:bCs/>
        </w:rPr>
        <w:t>S3-220543</w:t>
      </w:r>
      <w:r>
        <w:rPr>
          <w:b/>
          <w:bCs/>
        </w:rPr>
        <w:t xml:space="preserve"> does not seem to be relevant to resolve RAN2 concerns regarding Rel-17 NTN</w:t>
      </w:r>
      <w:r w:rsidR="00BC3B0B" w:rsidRPr="00BC3B0B">
        <w:rPr>
          <w:b/>
          <w:bCs/>
        </w:rPr>
        <w:t>.</w:t>
      </w:r>
    </w:p>
    <w:p w14:paraId="3609FCF1" w14:textId="1AD7EA9C" w:rsidR="009075F4" w:rsidRDefault="005307CA" w:rsidP="009075F4">
      <w:pPr>
        <w:jc w:val="both"/>
      </w:pPr>
      <w:r>
        <w:t>Nevertheless, another</w:t>
      </w:r>
      <w:r w:rsidR="00BC3B0B">
        <w:t xml:space="preserve"> question remains</w:t>
      </w:r>
      <w:r>
        <w:t xml:space="preserve"> -</w:t>
      </w:r>
      <w:r w:rsidR="00BC3B0B">
        <w:t xml:space="preserve"> what ‘coarse location’ actually is. </w:t>
      </w:r>
      <w:r w:rsidR="00E718EB">
        <w:t>During the past discussions, it was understood as “</w:t>
      </w:r>
      <w:r w:rsidR="00E718EB" w:rsidRPr="00E718EB">
        <w:rPr>
          <w:i/>
          <w:iCs/>
          <w:lang w:eastAsia="zh-CN"/>
        </w:rPr>
        <w:t>X most Significant Bits of GNSS coordinates with accuracy around 2km level</w:t>
      </w:r>
      <w:r w:rsidR="00E718EB">
        <w:t xml:space="preserve">”. In one of our previous </w:t>
      </w:r>
      <w:proofErr w:type="spellStart"/>
      <w:r w:rsidR="00E718EB">
        <w:t>TDocs</w:t>
      </w:r>
      <w:proofErr w:type="spellEnd"/>
      <w:r w:rsidR="009075F4">
        <w:t xml:space="preserve"> </w:t>
      </w:r>
      <w:r w:rsidR="009075F4">
        <w:fldChar w:fldCharType="begin"/>
      </w:r>
      <w:r w:rsidR="009075F4">
        <w:instrText xml:space="preserve"> REF _Ref100842208 \r \h </w:instrText>
      </w:r>
      <w:r w:rsidR="009075F4">
        <w:fldChar w:fldCharType="separate"/>
      </w:r>
      <w:r w:rsidR="009075F4">
        <w:t>[6]</w:t>
      </w:r>
      <w:r w:rsidR="009075F4">
        <w:fldChar w:fldCharType="end"/>
      </w:r>
      <w:r w:rsidR="00E718EB">
        <w:t xml:space="preserve"> we have analy</w:t>
      </w:r>
      <w:r w:rsidR="009075F4">
        <w:t>sed</w:t>
      </w:r>
      <w:r w:rsidR="00E718EB">
        <w:t xml:space="preserve"> how many bits would be needed to represent such accuracy</w:t>
      </w:r>
      <w:r w:rsidR="009075F4">
        <w:t xml:space="preserve">. If the representation relies on longitude/latitude then to express the location within the circumference (equator) of the Earth, approximately with 2 km accuracy, one </w:t>
      </w:r>
      <w:proofErr w:type="gramStart"/>
      <w:r w:rsidR="009075F4">
        <w:t>would</w:t>
      </w:r>
      <w:proofErr w:type="gramEnd"/>
      <w:r w:rsidR="009075F4">
        <w:t xml:space="preserve"> need around 14 bits for the longitude. That is a worst-case scenario as the closer the UE gets to the poles, the lower would be the required number of bits. 12 bits would allow achieving ~10 km accuracy, which may be acceptable in many cases </w:t>
      </w:r>
      <w:r w:rsidR="00B97512">
        <w:t>(</w:t>
      </w:r>
      <w:r w:rsidR="009075F4">
        <w:t xml:space="preserve">coarse location reporting). </w:t>
      </w:r>
    </w:p>
    <w:p w14:paraId="66D9366E" w14:textId="1E7993E9" w:rsidR="009075F4" w:rsidRPr="00B97512" w:rsidRDefault="005307CA" w:rsidP="009075F4">
      <w:pPr>
        <w:jc w:val="both"/>
        <w:rPr>
          <w:b/>
          <w:bCs/>
        </w:rPr>
      </w:pPr>
      <w:r>
        <w:rPr>
          <w:b/>
          <w:bCs/>
        </w:rPr>
        <w:t>Proposal</w:t>
      </w:r>
      <w:r w:rsidR="009075F4" w:rsidRPr="008464F3">
        <w:rPr>
          <w:b/>
          <w:bCs/>
        </w:rPr>
        <w:t xml:space="preserve"> </w:t>
      </w:r>
      <w:r>
        <w:rPr>
          <w:b/>
          <w:bCs/>
        </w:rPr>
        <w:t>3</w:t>
      </w:r>
      <w:r w:rsidR="009075F4" w:rsidRPr="008464F3">
        <w:rPr>
          <w:b/>
          <w:bCs/>
        </w:rPr>
        <w:t xml:space="preserve">: </w:t>
      </w:r>
      <w:r w:rsidR="00B97512">
        <w:rPr>
          <w:b/>
          <w:bCs/>
        </w:rPr>
        <w:t>For coarse UE location reporting</w:t>
      </w:r>
      <w:r w:rsidR="00870210">
        <w:rPr>
          <w:b/>
          <w:bCs/>
        </w:rPr>
        <w:t xml:space="preserve"> use </w:t>
      </w:r>
      <w:r w:rsidR="009075F4" w:rsidRPr="008464F3">
        <w:rPr>
          <w:b/>
          <w:bCs/>
        </w:rPr>
        <w:t xml:space="preserve">12 – 14 bits </w:t>
      </w:r>
      <w:r w:rsidR="009075F4">
        <w:rPr>
          <w:b/>
          <w:bCs/>
        </w:rPr>
        <w:t>t</w:t>
      </w:r>
      <w:r w:rsidR="009075F4" w:rsidRPr="008464F3">
        <w:rPr>
          <w:b/>
          <w:bCs/>
        </w:rPr>
        <w:t xml:space="preserve">o represent the longitude </w:t>
      </w:r>
      <w:r w:rsidR="00870210">
        <w:rPr>
          <w:b/>
          <w:bCs/>
        </w:rPr>
        <w:t xml:space="preserve">with </w:t>
      </w:r>
      <w:r w:rsidR="009075F4" w:rsidRPr="008464F3">
        <w:rPr>
          <w:b/>
          <w:bCs/>
        </w:rPr>
        <w:t>the accuracy between 2 and 10 km</w:t>
      </w:r>
      <w:r w:rsidR="009075F4">
        <w:rPr>
          <w:b/>
          <w:bCs/>
        </w:rPr>
        <w:t xml:space="preserve"> (Equator case).</w:t>
      </w:r>
      <w:r w:rsidR="009075F4" w:rsidRPr="008464F3">
        <w:rPr>
          <w:b/>
          <w:bCs/>
        </w:rPr>
        <w:t xml:space="preserve"> </w:t>
      </w:r>
    </w:p>
    <w:p w14:paraId="69B7B8E6" w14:textId="277E040D" w:rsidR="009339CB" w:rsidRPr="000518E6" w:rsidRDefault="008F2100" w:rsidP="009339CB">
      <w:pPr>
        <w:pStyle w:val="Heading1"/>
      </w:pPr>
      <w:r w:rsidRPr="000518E6">
        <w:t>3</w:t>
      </w:r>
      <w:r w:rsidR="009339CB" w:rsidRPr="000518E6">
        <w:tab/>
        <w:t>Conclusion</w:t>
      </w:r>
    </w:p>
    <w:p w14:paraId="6E24B0F4" w14:textId="29153B1E" w:rsidR="009339CB" w:rsidRPr="000518E6" w:rsidRDefault="009339CB" w:rsidP="009339CB">
      <w:r w:rsidRPr="000518E6">
        <w:t>This documents has made the following observations</w:t>
      </w:r>
      <w:r w:rsidR="0060719A" w:rsidRPr="000518E6">
        <w:t xml:space="preserve"> and proposals</w:t>
      </w:r>
      <w:r w:rsidRPr="000518E6">
        <w:t>:</w:t>
      </w:r>
    </w:p>
    <w:p w14:paraId="022C171E" w14:textId="68794C62" w:rsidR="0017570A" w:rsidRDefault="0017570A" w:rsidP="0017570A">
      <w:pPr>
        <w:jc w:val="both"/>
        <w:rPr>
          <w:rFonts w:eastAsia="MS Mincho"/>
          <w:b/>
          <w:bCs/>
        </w:rPr>
      </w:pPr>
      <w:r w:rsidRPr="009871AA">
        <w:rPr>
          <w:rFonts w:eastAsia="MS Mincho"/>
          <w:b/>
          <w:bCs/>
        </w:rPr>
        <w:t>Observation 1: NTN UEs support CHO, so it is straightforward to allow CHO Recovery when RLF/HOF occurs.</w:t>
      </w:r>
    </w:p>
    <w:p w14:paraId="565F4899" w14:textId="77777777" w:rsidR="0017570A" w:rsidRPr="00C810F7" w:rsidRDefault="0017570A" w:rsidP="0017570A">
      <w:pPr>
        <w:jc w:val="both"/>
        <w:rPr>
          <w:rFonts w:eastAsia="MS Mincho"/>
          <w:b/>
          <w:bCs/>
        </w:rPr>
      </w:pPr>
      <w:r w:rsidRPr="00C810F7">
        <w:rPr>
          <w:rFonts w:eastAsia="MS Mincho"/>
          <w:b/>
          <w:bCs/>
        </w:rPr>
        <w:t xml:space="preserve">Observation 2: The UE may trigger CHO before T2 and fail or experience RLF just before T2. In such circumstances, it shall be allowed to use CHO configurations during recovery. </w:t>
      </w:r>
    </w:p>
    <w:p w14:paraId="09123167" w14:textId="77777777" w:rsidR="0017570A" w:rsidRDefault="0017570A" w:rsidP="0017570A">
      <w:pPr>
        <w:jc w:val="both"/>
        <w:rPr>
          <w:rFonts w:eastAsia="MS Mincho"/>
          <w:b/>
          <w:bCs/>
        </w:rPr>
      </w:pPr>
      <w:r w:rsidRPr="00852F91">
        <w:rPr>
          <w:b/>
          <w:bCs/>
        </w:rPr>
        <w:t xml:space="preserve">Proposal </w:t>
      </w:r>
      <w:r>
        <w:rPr>
          <w:b/>
          <w:bCs/>
        </w:rPr>
        <w:t>1</w:t>
      </w:r>
      <w:r w:rsidRPr="00852F91">
        <w:rPr>
          <w:b/>
          <w:bCs/>
        </w:rPr>
        <w:t>: I</w:t>
      </w:r>
      <w:r w:rsidRPr="00852F91">
        <w:rPr>
          <w:rFonts w:eastAsia="MS Mincho"/>
          <w:b/>
          <w:bCs/>
        </w:rPr>
        <w:t xml:space="preserve">f the UE does not </w:t>
      </w:r>
      <w:r>
        <w:rPr>
          <w:rFonts w:eastAsia="MS Mincho"/>
          <w:b/>
          <w:bCs/>
        </w:rPr>
        <w:t xml:space="preserve">successfully </w:t>
      </w:r>
      <w:r w:rsidRPr="00852F91">
        <w:rPr>
          <w:rFonts w:eastAsia="MS Mincho"/>
          <w:b/>
          <w:bCs/>
        </w:rPr>
        <w:t>execute CHO until T2</w:t>
      </w:r>
      <w:r>
        <w:rPr>
          <w:rFonts w:eastAsia="MS Mincho"/>
          <w:b/>
          <w:bCs/>
        </w:rPr>
        <w:t xml:space="preserve">, </w:t>
      </w:r>
      <w:r w:rsidRPr="00852F91">
        <w:rPr>
          <w:rFonts w:eastAsia="MS Mincho"/>
          <w:b/>
          <w:bCs/>
        </w:rPr>
        <w:t>until distance-based condition is met</w:t>
      </w:r>
      <w:r>
        <w:rPr>
          <w:rFonts w:eastAsia="MS Mincho"/>
          <w:b/>
          <w:bCs/>
        </w:rPr>
        <w:t xml:space="preserve"> or if the UE encounters RLF/HOF before T2,</w:t>
      </w:r>
      <w:r w:rsidRPr="00852F91">
        <w:rPr>
          <w:rFonts w:eastAsia="MS Mincho"/>
          <w:b/>
          <w:bCs/>
        </w:rPr>
        <w:t xml:space="preserve"> but was configured for CHO Recovery</w:t>
      </w:r>
      <w:r>
        <w:rPr>
          <w:rFonts w:eastAsia="MS Mincho"/>
          <w:b/>
          <w:bCs/>
        </w:rPr>
        <w:t>,</w:t>
      </w:r>
      <w:r w:rsidRPr="00852F91">
        <w:rPr>
          <w:rFonts w:eastAsia="MS Mincho"/>
          <w:b/>
          <w:bCs/>
        </w:rPr>
        <w:t xml:space="preserve"> the UE keeps the CHO configurations</w:t>
      </w:r>
      <w:r>
        <w:rPr>
          <w:rFonts w:eastAsia="MS Mincho"/>
          <w:b/>
          <w:bCs/>
        </w:rPr>
        <w:t xml:space="preserve"> beyond T2 and attempts CHO Recovery</w:t>
      </w:r>
      <w:r w:rsidRPr="00852F91">
        <w:rPr>
          <w:rFonts w:eastAsia="MS Mincho"/>
          <w:b/>
          <w:bCs/>
        </w:rPr>
        <w:t xml:space="preserve">. </w:t>
      </w:r>
    </w:p>
    <w:p w14:paraId="12FDC958" w14:textId="77777777" w:rsidR="0017570A" w:rsidRPr="00BA36C2" w:rsidRDefault="0017570A" w:rsidP="0017570A">
      <w:pPr>
        <w:jc w:val="both"/>
        <w:rPr>
          <w:b/>
          <w:bCs/>
        </w:rPr>
      </w:pPr>
      <w:r w:rsidRPr="00BA36C2">
        <w:rPr>
          <w:b/>
          <w:bCs/>
        </w:rPr>
        <w:t>Observation 3: Ephemeris parameters for the cells from the same satellite, orbit or constellation may be largely the same. Using delta configuration can reduce the number of bits.</w:t>
      </w:r>
    </w:p>
    <w:p w14:paraId="23ED18AD" w14:textId="77777777" w:rsidR="0017570A" w:rsidRPr="009D4232" w:rsidRDefault="0017570A" w:rsidP="0017570A">
      <w:pPr>
        <w:jc w:val="both"/>
        <w:rPr>
          <w:b/>
          <w:bCs/>
        </w:rPr>
      </w:pPr>
      <w:r w:rsidRPr="009D4232">
        <w:rPr>
          <w:b/>
          <w:bCs/>
        </w:rPr>
        <w:t>Proposal 2: The satellites</w:t>
      </w:r>
      <w:r>
        <w:rPr>
          <w:b/>
          <w:bCs/>
        </w:rPr>
        <w:t xml:space="preserve"> and neighbour cells</w:t>
      </w:r>
      <w:r w:rsidRPr="009D4232">
        <w:rPr>
          <w:b/>
          <w:bCs/>
        </w:rPr>
        <w:t xml:space="preserve"> which may reuse </w:t>
      </w:r>
      <w:r>
        <w:rPr>
          <w:b/>
          <w:bCs/>
        </w:rPr>
        <w:t>at least a sub-set of the</w:t>
      </w:r>
      <w:r w:rsidRPr="009D4232">
        <w:rPr>
          <w:b/>
          <w:bCs/>
        </w:rPr>
        <w:t xml:space="preserve"> orbital parameters from </w:t>
      </w:r>
      <w:r w:rsidRPr="009D4232">
        <w:rPr>
          <w:b/>
          <w:bCs/>
          <w:i/>
          <w:iCs/>
        </w:rPr>
        <w:t>EphemerisInfo-r17 of the serving cell are indicated in SIB3 (</w:t>
      </w:r>
      <w:r w:rsidRPr="009D4232">
        <w:rPr>
          <w:b/>
          <w:bCs/>
        </w:rPr>
        <w:t>for intra-frequency neighbours</w:t>
      </w:r>
      <w:r w:rsidRPr="009D4232">
        <w:rPr>
          <w:b/>
          <w:bCs/>
          <w:i/>
          <w:iCs/>
        </w:rPr>
        <w:t>) or SIB4 (</w:t>
      </w:r>
      <w:r w:rsidRPr="009D4232">
        <w:rPr>
          <w:b/>
          <w:bCs/>
        </w:rPr>
        <w:t>for inter-frequency neighbours</w:t>
      </w:r>
      <w:r w:rsidRPr="009D4232">
        <w:rPr>
          <w:b/>
          <w:bCs/>
          <w:i/>
          <w:iCs/>
        </w:rPr>
        <w:t>)</w:t>
      </w:r>
      <w:r w:rsidRPr="009D4232">
        <w:rPr>
          <w:b/>
          <w:bCs/>
        </w:rPr>
        <w:t>.</w:t>
      </w:r>
    </w:p>
    <w:p w14:paraId="5B427DD9" w14:textId="77777777" w:rsidR="0017570A" w:rsidRPr="00357745" w:rsidRDefault="0017570A" w:rsidP="0017570A">
      <w:pPr>
        <w:jc w:val="both"/>
        <w:rPr>
          <w:b/>
          <w:bCs/>
        </w:rPr>
      </w:pPr>
      <w:r w:rsidRPr="00357745">
        <w:rPr>
          <w:b/>
          <w:bCs/>
        </w:rPr>
        <w:t xml:space="preserve">Observation 4: As per RAN2#117 discussion user consent needs to be given also for coarse location reporting in RRC_CONNECTED mode. </w:t>
      </w:r>
    </w:p>
    <w:p w14:paraId="46B2B8B5" w14:textId="77777777" w:rsidR="0017570A" w:rsidRPr="00BC3B0B" w:rsidRDefault="0017570A" w:rsidP="0017570A">
      <w:pPr>
        <w:jc w:val="both"/>
        <w:rPr>
          <w:b/>
          <w:bCs/>
        </w:rPr>
      </w:pPr>
      <w:r>
        <w:rPr>
          <w:b/>
          <w:bCs/>
        </w:rPr>
        <w:t>Observation</w:t>
      </w:r>
      <w:r w:rsidRPr="00BC3B0B">
        <w:rPr>
          <w:b/>
          <w:bCs/>
        </w:rPr>
        <w:t xml:space="preserve"> </w:t>
      </w:r>
      <w:r>
        <w:rPr>
          <w:b/>
          <w:bCs/>
        </w:rPr>
        <w:t>5</w:t>
      </w:r>
      <w:r w:rsidRPr="00BC3B0B">
        <w:rPr>
          <w:b/>
          <w:bCs/>
        </w:rPr>
        <w:t xml:space="preserve">: </w:t>
      </w:r>
      <w:r>
        <w:rPr>
          <w:b/>
          <w:bCs/>
        </w:rPr>
        <w:t>SA3 LS in</w:t>
      </w:r>
      <w:r w:rsidRPr="00BC3B0B">
        <w:rPr>
          <w:b/>
          <w:bCs/>
        </w:rPr>
        <w:t xml:space="preserve"> S3-220543</w:t>
      </w:r>
      <w:r>
        <w:rPr>
          <w:b/>
          <w:bCs/>
        </w:rPr>
        <w:t xml:space="preserve"> does not seem to be relevant to resolve RAN2 concerns regarding Rel-17 NTN</w:t>
      </w:r>
      <w:r w:rsidRPr="00BC3B0B">
        <w:rPr>
          <w:b/>
          <w:bCs/>
        </w:rPr>
        <w:t>.</w:t>
      </w:r>
    </w:p>
    <w:p w14:paraId="10743D45" w14:textId="5D6A33B4" w:rsidR="0017570A" w:rsidRPr="00855908" w:rsidRDefault="0017570A" w:rsidP="0017570A">
      <w:pPr>
        <w:jc w:val="both"/>
        <w:rPr>
          <w:b/>
          <w:bCs/>
        </w:rPr>
      </w:pPr>
      <w:r>
        <w:rPr>
          <w:b/>
          <w:bCs/>
        </w:rPr>
        <w:t>Proposal</w:t>
      </w:r>
      <w:r w:rsidRPr="008464F3">
        <w:rPr>
          <w:b/>
          <w:bCs/>
        </w:rPr>
        <w:t xml:space="preserve"> </w:t>
      </w:r>
      <w:r>
        <w:rPr>
          <w:b/>
          <w:bCs/>
        </w:rPr>
        <w:t>3</w:t>
      </w:r>
      <w:r w:rsidRPr="008464F3">
        <w:rPr>
          <w:b/>
          <w:bCs/>
        </w:rPr>
        <w:t xml:space="preserve">: </w:t>
      </w:r>
      <w:r>
        <w:rPr>
          <w:b/>
          <w:bCs/>
        </w:rPr>
        <w:t xml:space="preserve">For coarse UE location reporting use </w:t>
      </w:r>
      <w:r w:rsidRPr="008464F3">
        <w:rPr>
          <w:b/>
          <w:bCs/>
        </w:rPr>
        <w:t xml:space="preserve">12 – 14 bits </w:t>
      </w:r>
      <w:r>
        <w:rPr>
          <w:b/>
          <w:bCs/>
        </w:rPr>
        <w:t>t</w:t>
      </w:r>
      <w:r w:rsidRPr="008464F3">
        <w:rPr>
          <w:b/>
          <w:bCs/>
        </w:rPr>
        <w:t xml:space="preserve">o represent the longitude </w:t>
      </w:r>
      <w:r>
        <w:rPr>
          <w:b/>
          <w:bCs/>
        </w:rPr>
        <w:t xml:space="preserve">with </w:t>
      </w:r>
      <w:r w:rsidRPr="008464F3">
        <w:rPr>
          <w:b/>
          <w:bCs/>
        </w:rPr>
        <w:t>the accuracy between 2 and 10 km</w:t>
      </w:r>
      <w:r>
        <w:rPr>
          <w:b/>
          <w:bCs/>
        </w:rPr>
        <w:t xml:space="preserve"> (Equator case).</w:t>
      </w:r>
      <w:r w:rsidRPr="008464F3">
        <w:rPr>
          <w:b/>
          <w:bCs/>
        </w:rPr>
        <w:t xml:space="preserve"> </w:t>
      </w:r>
    </w:p>
    <w:p w14:paraId="689B763D" w14:textId="5D19B6FD" w:rsidR="00B22815" w:rsidRPr="00401186" w:rsidRDefault="00B22815">
      <w:pPr>
        <w:pStyle w:val="Heading1"/>
      </w:pPr>
      <w:r w:rsidRPr="00401186">
        <w:t>References</w:t>
      </w:r>
    </w:p>
    <w:p w14:paraId="3E8DE32C" w14:textId="71567E1D" w:rsidR="0056604A" w:rsidRPr="00855908" w:rsidRDefault="00B22815" w:rsidP="0056604A">
      <w:pPr>
        <w:pStyle w:val="ListParagraph"/>
        <w:numPr>
          <w:ilvl w:val="0"/>
          <w:numId w:val="9"/>
        </w:numPr>
      </w:pPr>
      <w:bookmarkStart w:id="0" w:name="_Ref100825595"/>
      <w:bookmarkStart w:id="1" w:name="_Ref100587137"/>
      <w:r w:rsidRPr="00855908">
        <w:t>R</w:t>
      </w:r>
      <w:r w:rsidR="0056604A" w:rsidRPr="00855908">
        <w:t>P</w:t>
      </w:r>
      <w:r w:rsidRPr="00855908">
        <w:t>-22</w:t>
      </w:r>
      <w:r w:rsidR="009A0E83" w:rsidRPr="00855908">
        <w:t>0855</w:t>
      </w:r>
      <w:r w:rsidR="0056604A" w:rsidRPr="00855908">
        <w:t xml:space="preserve"> </w:t>
      </w:r>
      <w:bookmarkEnd w:id="0"/>
      <w:r w:rsidR="009A0E83" w:rsidRPr="00401186">
        <w:t>Status report for WI: NR NTN (Non-Terrestrial Networks)</w:t>
      </w:r>
      <w:r w:rsidR="009A0E83">
        <w:t>,</w:t>
      </w:r>
      <w:r w:rsidRPr="00855908">
        <w:t xml:space="preserve"> </w:t>
      </w:r>
      <w:bookmarkEnd w:id="1"/>
      <w:r w:rsidR="009A0E83">
        <w:rPr>
          <w:color w:val="000000"/>
        </w:rPr>
        <w:t>RAN #95e, March 2022</w:t>
      </w:r>
    </w:p>
    <w:p w14:paraId="4864BF51" w14:textId="20F7F5FB" w:rsidR="00577A0F" w:rsidRPr="00AD1A35" w:rsidRDefault="0056604A" w:rsidP="0056604A">
      <w:pPr>
        <w:pStyle w:val="ListParagraph"/>
        <w:numPr>
          <w:ilvl w:val="0"/>
          <w:numId w:val="9"/>
        </w:numPr>
      </w:pPr>
      <w:bookmarkStart w:id="2" w:name="_Ref100826006"/>
      <w:r w:rsidRPr="00401186">
        <w:t>R2-2203512 Report from Break-out session on R17 NTN, REDCAP and CE</w:t>
      </w:r>
      <w:r w:rsidRPr="00AD1A35">
        <w:t xml:space="preserve"> 3GPP TSG-RAN WG2 Meeting #117 Online, Feb 21st - Mar 3rd, 2022</w:t>
      </w:r>
      <w:bookmarkEnd w:id="2"/>
    </w:p>
    <w:p w14:paraId="63A46776" w14:textId="52A51BDC" w:rsidR="00C46F6C" w:rsidRPr="008C7CC8" w:rsidRDefault="00C46F6C" w:rsidP="0056604A">
      <w:pPr>
        <w:pStyle w:val="ListParagraph"/>
        <w:numPr>
          <w:ilvl w:val="0"/>
          <w:numId w:val="9"/>
        </w:numPr>
      </w:pPr>
      <w:bookmarkStart w:id="3" w:name="_Ref100834852"/>
      <w:r w:rsidRPr="008C7CC8">
        <w:t>3GPP Technical Specification 38.331, version 17.0.0, April 2022</w:t>
      </w:r>
      <w:bookmarkEnd w:id="3"/>
    </w:p>
    <w:p w14:paraId="232AA9E7" w14:textId="78181827" w:rsidR="00EB2DB5" w:rsidRDefault="00EB2DB5" w:rsidP="00196BC3">
      <w:pPr>
        <w:pStyle w:val="ListParagraph"/>
        <w:numPr>
          <w:ilvl w:val="0"/>
          <w:numId w:val="9"/>
        </w:numPr>
      </w:pPr>
      <w:bookmarkStart w:id="4" w:name="_Ref100839445"/>
      <w:r w:rsidRPr="009A0E83">
        <w:lastRenderedPageBreak/>
        <w:t>R2-2204113</w:t>
      </w:r>
      <w:r>
        <w:t xml:space="preserve"> </w:t>
      </w:r>
      <w:bookmarkEnd w:id="4"/>
      <w:r w:rsidR="00196BC3" w:rsidRPr="004142A3">
        <w:t xml:space="preserve">LS on UE location </w:t>
      </w:r>
      <w:r w:rsidR="00196BC3">
        <w:t>in connected mode</w:t>
      </w:r>
      <w:r w:rsidR="00196BC3" w:rsidRPr="004142A3">
        <w:t xml:space="preserve"> in NTN</w:t>
      </w:r>
      <w:r w:rsidR="00196BC3">
        <w:t xml:space="preserve"> 3GPP TSG-RAN WG2 Meeting #117 Online, Feb 21st - Mar 3rd, 2022</w:t>
      </w:r>
    </w:p>
    <w:p w14:paraId="2CFB6C25" w14:textId="76AF185F" w:rsidR="00955972" w:rsidRDefault="00955972" w:rsidP="0056604A">
      <w:pPr>
        <w:pStyle w:val="ListParagraph"/>
        <w:numPr>
          <w:ilvl w:val="0"/>
          <w:numId w:val="9"/>
        </w:numPr>
      </w:pPr>
      <w:bookmarkStart w:id="5" w:name="_Ref100840783"/>
      <w:r w:rsidRPr="00955972">
        <w:t>S3-220543</w:t>
      </w:r>
      <w:r>
        <w:t xml:space="preserve"> LS from SA3 on coarse location</w:t>
      </w:r>
      <w:bookmarkEnd w:id="5"/>
    </w:p>
    <w:p w14:paraId="3646FA1C" w14:textId="532C0A73" w:rsidR="009075F4" w:rsidRPr="000518E6" w:rsidRDefault="009075F4" w:rsidP="009075F4">
      <w:pPr>
        <w:pStyle w:val="ListParagraph"/>
        <w:numPr>
          <w:ilvl w:val="0"/>
          <w:numId w:val="9"/>
        </w:numPr>
      </w:pPr>
      <w:bookmarkStart w:id="6" w:name="_Ref100842208"/>
      <w:r w:rsidRPr="009075F4">
        <w:t>R2-2110614</w:t>
      </w:r>
      <w:r>
        <w:t xml:space="preserve"> </w:t>
      </w:r>
      <w:r w:rsidRPr="009075F4">
        <w:t>Final views on location aspects for Rel-17 NTN</w:t>
      </w:r>
      <w:r>
        <w:t xml:space="preserve"> 3GPP TSG-RAN WG2 Meeting #116 Electronic </w:t>
      </w:r>
      <w:proofErr w:type="spellStart"/>
      <w:r>
        <w:t>Elbonia</w:t>
      </w:r>
      <w:proofErr w:type="spellEnd"/>
      <w:r>
        <w:t>, 1 – 12 of November 2021</w:t>
      </w:r>
      <w:bookmarkEnd w:id="6"/>
    </w:p>
    <w:sectPr w:rsidR="009075F4" w:rsidRPr="000518E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A9A9" w14:textId="77777777" w:rsidR="002C660A" w:rsidRDefault="002C660A">
      <w:r>
        <w:separator/>
      </w:r>
    </w:p>
  </w:endnote>
  <w:endnote w:type="continuationSeparator" w:id="0">
    <w:p w14:paraId="7658771F" w14:textId="77777777" w:rsidR="002C660A" w:rsidRDefault="002C660A">
      <w:r>
        <w:continuationSeparator/>
      </w:r>
    </w:p>
  </w:endnote>
  <w:endnote w:type="continuationNotice" w:id="1">
    <w:p w14:paraId="12A6AEF2" w14:textId="77777777" w:rsidR="002C660A" w:rsidRDefault="002C6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581D8" w14:textId="77777777" w:rsidR="002C660A" w:rsidRDefault="002C660A">
      <w:r>
        <w:separator/>
      </w:r>
    </w:p>
  </w:footnote>
  <w:footnote w:type="continuationSeparator" w:id="0">
    <w:p w14:paraId="6A42C4C5" w14:textId="77777777" w:rsidR="002C660A" w:rsidRDefault="002C660A">
      <w:r>
        <w:continuationSeparator/>
      </w:r>
    </w:p>
  </w:footnote>
  <w:footnote w:type="continuationNotice" w:id="1">
    <w:p w14:paraId="3C1C0787" w14:textId="77777777" w:rsidR="002C660A" w:rsidRDefault="002C6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B87B2D"/>
    <w:multiLevelType w:val="multilevel"/>
    <w:tmpl w:val="725A3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7B4AAE"/>
    <w:multiLevelType w:val="hybridMultilevel"/>
    <w:tmpl w:val="88188C3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300A3C57"/>
    <w:multiLevelType w:val="hybridMultilevel"/>
    <w:tmpl w:val="C63A3398"/>
    <w:lvl w:ilvl="0" w:tplc="19C6044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1E354D"/>
    <w:multiLevelType w:val="hybridMultilevel"/>
    <w:tmpl w:val="171AA56E"/>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2"/>
  </w:num>
  <w:num w:numId="9">
    <w:abstractNumId w:val="9"/>
  </w:num>
  <w:num w:numId="10">
    <w:abstractNumId w:val="3"/>
  </w:num>
  <w:num w:numId="11">
    <w:abstractNumId w:val="11"/>
  </w:num>
  <w:num w:numId="12">
    <w:abstractNumId w:val="1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835"/>
    <w:rsid w:val="00040095"/>
    <w:rsid w:val="00040217"/>
    <w:rsid w:val="000518E6"/>
    <w:rsid w:val="00065268"/>
    <w:rsid w:val="00066107"/>
    <w:rsid w:val="00073C9C"/>
    <w:rsid w:val="00076412"/>
    <w:rsid w:val="00080512"/>
    <w:rsid w:val="00090468"/>
    <w:rsid w:val="00094568"/>
    <w:rsid w:val="000B7BCF"/>
    <w:rsid w:val="000C522B"/>
    <w:rsid w:val="000D58AB"/>
    <w:rsid w:val="000F490A"/>
    <w:rsid w:val="00104C66"/>
    <w:rsid w:val="00112F1A"/>
    <w:rsid w:val="001130A7"/>
    <w:rsid w:val="00132189"/>
    <w:rsid w:val="00145075"/>
    <w:rsid w:val="00146059"/>
    <w:rsid w:val="0015701A"/>
    <w:rsid w:val="00164F60"/>
    <w:rsid w:val="001741A0"/>
    <w:rsid w:val="0017570A"/>
    <w:rsid w:val="00175FA0"/>
    <w:rsid w:val="00194CD0"/>
    <w:rsid w:val="00196BC3"/>
    <w:rsid w:val="001B0881"/>
    <w:rsid w:val="001B49C9"/>
    <w:rsid w:val="001B6B6C"/>
    <w:rsid w:val="001C23F4"/>
    <w:rsid w:val="001C4F79"/>
    <w:rsid w:val="001C6A0B"/>
    <w:rsid w:val="001E0BFA"/>
    <w:rsid w:val="001F168B"/>
    <w:rsid w:val="001F3828"/>
    <w:rsid w:val="001F6FDD"/>
    <w:rsid w:val="001F7831"/>
    <w:rsid w:val="00202BD0"/>
    <w:rsid w:val="00204045"/>
    <w:rsid w:val="0020712B"/>
    <w:rsid w:val="0022606D"/>
    <w:rsid w:val="00231728"/>
    <w:rsid w:val="00244A05"/>
    <w:rsid w:val="00250404"/>
    <w:rsid w:val="00256B74"/>
    <w:rsid w:val="002610D8"/>
    <w:rsid w:val="002747EC"/>
    <w:rsid w:val="002855BF"/>
    <w:rsid w:val="00287C2A"/>
    <w:rsid w:val="00297080"/>
    <w:rsid w:val="002A290A"/>
    <w:rsid w:val="002B2988"/>
    <w:rsid w:val="002C660A"/>
    <w:rsid w:val="002F0D22"/>
    <w:rsid w:val="00311B17"/>
    <w:rsid w:val="003168B0"/>
    <w:rsid w:val="003172DC"/>
    <w:rsid w:val="00320F71"/>
    <w:rsid w:val="00325AE3"/>
    <w:rsid w:val="00326069"/>
    <w:rsid w:val="0035462D"/>
    <w:rsid w:val="00357745"/>
    <w:rsid w:val="0036137D"/>
    <w:rsid w:val="0036459E"/>
    <w:rsid w:val="00364B41"/>
    <w:rsid w:val="00376C90"/>
    <w:rsid w:val="00383096"/>
    <w:rsid w:val="0039346C"/>
    <w:rsid w:val="003A41EF"/>
    <w:rsid w:val="003B09D9"/>
    <w:rsid w:val="003B40AD"/>
    <w:rsid w:val="003C4E37"/>
    <w:rsid w:val="003E16BE"/>
    <w:rsid w:val="003F4E28"/>
    <w:rsid w:val="004006E8"/>
    <w:rsid w:val="00401186"/>
    <w:rsid w:val="00401855"/>
    <w:rsid w:val="0042162A"/>
    <w:rsid w:val="00441062"/>
    <w:rsid w:val="00443D63"/>
    <w:rsid w:val="00446C3A"/>
    <w:rsid w:val="00465587"/>
    <w:rsid w:val="00477455"/>
    <w:rsid w:val="00492EA8"/>
    <w:rsid w:val="004A1F7B"/>
    <w:rsid w:val="004B455C"/>
    <w:rsid w:val="004C0FFD"/>
    <w:rsid w:val="004C44D2"/>
    <w:rsid w:val="004D3578"/>
    <w:rsid w:val="004D380D"/>
    <w:rsid w:val="004E213A"/>
    <w:rsid w:val="004F4540"/>
    <w:rsid w:val="004F73A7"/>
    <w:rsid w:val="00503171"/>
    <w:rsid w:val="00505E90"/>
    <w:rsid w:val="00506C28"/>
    <w:rsid w:val="00512D48"/>
    <w:rsid w:val="005307CA"/>
    <w:rsid w:val="00534DA0"/>
    <w:rsid w:val="00543E6C"/>
    <w:rsid w:val="00546339"/>
    <w:rsid w:val="00565087"/>
    <w:rsid w:val="0056573F"/>
    <w:rsid w:val="0056604A"/>
    <w:rsid w:val="00571279"/>
    <w:rsid w:val="005721B7"/>
    <w:rsid w:val="00577A0F"/>
    <w:rsid w:val="00597E07"/>
    <w:rsid w:val="005A49C6"/>
    <w:rsid w:val="005B02BF"/>
    <w:rsid w:val="005C766E"/>
    <w:rsid w:val="005C7CD5"/>
    <w:rsid w:val="0060719A"/>
    <w:rsid w:val="00611566"/>
    <w:rsid w:val="0062508B"/>
    <w:rsid w:val="0063646D"/>
    <w:rsid w:val="00646D99"/>
    <w:rsid w:val="00656910"/>
    <w:rsid w:val="006574C0"/>
    <w:rsid w:val="00687D49"/>
    <w:rsid w:val="00696821"/>
    <w:rsid w:val="006C66D8"/>
    <w:rsid w:val="006D1E24"/>
    <w:rsid w:val="006D35DE"/>
    <w:rsid w:val="006E1057"/>
    <w:rsid w:val="006E1417"/>
    <w:rsid w:val="006F1C5E"/>
    <w:rsid w:val="006F6A2C"/>
    <w:rsid w:val="007069DC"/>
    <w:rsid w:val="00710201"/>
    <w:rsid w:val="0072073A"/>
    <w:rsid w:val="007342B5"/>
    <w:rsid w:val="00734A5B"/>
    <w:rsid w:val="00744E76"/>
    <w:rsid w:val="00757D40"/>
    <w:rsid w:val="00763844"/>
    <w:rsid w:val="007662B5"/>
    <w:rsid w:val="0077150D"/>
    <w:rsid w:val="00781F0F"/>
    <w:rsid w:val="0078727C"/>
    <w:rsid w:val="0079049D"/>
    <w:rsid w:val="00792326"/>
    <w:rsid w:val="00793DC5"/>
    <w:rsid w:val="00796823"/>
    <w:rsid w:val="007A2E55"/>
    <w:rsid w:val="007B18D8"/>
    <w:rsid w:val="007C077A"/>
    <w:rsid w:val="007C095F"/>
    <w:rsid w:val="007C2DD0"/>
    <w:rsid w:val="007C369F"/>
    <w:rsid w:val="007C4D84"/>
    <w:rsid w:val="007E22AE"/>
    <w:rsid w:val="007F2E08"/>
    <w:rsid w:val="008024FA"/>
    <w:rsid w:val="008028A4"/>
    <w:rsid w:val="00813245"/>
    <w:rsid w:val="008346ED"/>
    <w:rsid w:val="00840DE0"/>
    <w:rsid w:val="00842BD0"/>
    <w:rsid w:val="008435E4"/>
    <w:rsid w:val="00847CD0"/>
    <w:rsid w:val="00855908"/>
    <w:rsid w:val="008607A8"/>
    <w:rsid w:val="0086354A"/>
    <w:rsid w:val="00867040"/>
    <w:rsid w:val="00870210"/>
    <w:rsid w:val="008768CA"/>
    <w:rsid w:val="00877EF9"/>
    <w:rsid w:val="00880559"/>
    <w:rsid w:val="008841DE"/>
    <w:rsid w:val="00885E91"/>
    <w:rsid w:val="00892AFD"/>
    <w:rsid w:val="008B05EC"/>
    <w:rsid w:val="008B5306"/>
    <w:rsid w:val="008B7F47"/>
    <w:rsid w:val="008C2D87"/>
    <w:rsid w:val="008C2E2A"/>
    <w:rsid w:val="008C3057"/>
    <w:rsid w:val="008C46AD"/>
    <w:rsid w:val="008C7CC8"/>
    <w:rsid w:val="008D2E4D"/>
    <w:rsid w:val="008F2100"/>
    <w:rsid w:val="008F396F"/>
    <w:rsid w:val="008F3DCD"/>
    <w:rsid w:val="0090271F"/>
    <w:rsid w:val="00902DB9"/>
    <w:rsid w:val="00903ED7"/>
    <w:rsid w:val="0090466A"/>
    <w:rsid w:val="009075F4"/>
    <w:rsid w:val="00910D3A"/>
    <w:rsid w:val="00916FA3"/>
    <w:rsid w:val="00923655"/>
    <w:rsid w:val="00927DAB"/>
    <w:rsid w:val="009339CB"/>
    <w:rsid w:val="00936071"/>
    <w:rsid w:val="009376CD"/>
    <w:rsid w:val="00940212"/>
    <w:rsid w:val="00942EC2"/>
    <w:rsid w:val="00955972"/>
    <w:rsid w:val="00961B32"/>
    <w:rsid w:val="00962509"/>
    <w:rsid w:val="00970DB3"/>
    <w:rsid w:val="00972750"/>
    <w:rsid w:val="00974BB0"/>
    <w:rsid w:val="00975BCD"/>
    <w:rsid w:val="009871AA"/>
    <w:rsid w:val="009928A9"/>
    <w:rsid w:val="009A0AF3"/>
    <w:rsid w:val="009A0E83"/>
    <w:rsid w:val="009B07CD"/>
    <w:rsid w:val="009B2ACB"/>
    <w:rsid w:val="009C19E9"/>
    <w:rsid w:val="009C7B06"/>
    <w:rsid w:val="009C7E59"/>
    <w:rsid w:val="009D4232"/>
    <w:rsid w:val="009D74A6"/>
    <w:rsid w:val="009E0E87"/>
    <w:rsid w:val="009E7302"/>
    <w:rsid w:val="00A10F02"/>
    <w:rsid w:val="00A204CA"/>
    <w:rsid w:val="00A209D6"/>
    <w:rsid w:val="00A22738"/>
    <w:rsid w:val="00A36F5F"/>
    <w:rsid w:val="00A42B42"/>
    <w:rsid w:val="00A430EC"/>
    <w:rsid w:val="00A53724"/>
    <w:rsid w:val="00A54B2B"/>
    <w:rsid w:val="00A5768A"/>
    <w:rsid w:val="00A703B6"/>
    <w:rsid w:val="00A82346"/>
    <w:rsid w:val="00A8337D"/>
    <w:rsid w:val="00A9671C"/>
    <w:rsid w:val="00AA1553"/>
    <w:rsid w:val="00AA70A8"/>
    <w:rsid w:val="00AD1A35"/>
    <w:rsid w:val="00AD3B20"/>
    <w:rsid w:val="00B05380"/>
    <w:rsid w:val="00B05962"/>
    <w:rsid w:val="00B070F3"/>
    <w:rsid w:val="00B15449"/>
    <w:rsid w:val="00B16C2F"/>
    <w:rsid w:val="00B22815"/>
    <w:rsid w:val="00B27303"/>
    <w:rsid w:val="00B47FD1"/>
    <w:rsid w:val="00B516BB"/>
    <w:rsid w:val="00B7538C"/>
    <w:rsid w:val="00B759A8"/>
    <w:rsid w:val="00B75AAE"/>
    <w:rsid w:val="00B84748"/>
    <w:rsid w:val="00B84DB2"/>
    <w:rsid w:val="00B97512"/>
    <w:rsid w:val="00BA36C2"/>
    <w:rsid w:val="00BB006A"/>
    <w:rsid w:val="00BC3555"/>
    <w:rsid w:val="00BC3B0B"/>
    <w:rsid w:val="00BE1589"/>
    <w:rsid w:val="00BE7DD3"/>
    <w:rsid w:val="00C12B51"/>
    <w:rsid w:val="00C24650"/>
    <w:rsid w:val="00C25465"/>
    <w:rsid w:val="00C33079"/>
    <w:rsid w:val="00C46F6C"/>
    <w:rsid w:val="00C47277"/>
    <w:rsid w:val="00C55A12"/>
    <w:rsid w:val="00C6553E"/>
    <w:rsid w:val="00C810F7"/>
    <w:rsid w:val="00C82DAA"/>
    <w:rsid w:val="00C83A13"/>
    <w:rsid w:val="00C86F10"/>
    <w:rsid w:val="00C9068C"/>
    <w:rsid w:val="00C92967"/>
    <w:rsid w:val="00C9741D"/>
    <w:rsid w:val="00CA3D0C"/>
    <w:rsid w:val="00CA654B"/>
    <w:rsid w:val="00CB72B8"/>
    <w:rsid w:val="00CB780A"/>
    <w:rsid w:val="00CC526E"/>
    <w:rsid w:val="00CD0BA8"/>
    <w:rsid w:val="00CD4C7B"/>
    <w:rsid w:val="00CD58FE"/>
    <w:rsid w:val="00CE337E"/>
    <w:rsid w:val="00CE79B8"/>
    <w:rsid w:val="00D308E0"/>
    <w:rsid w:val="00D33BE3"/>
    <w:rsid w:val="00D3792D"/>
    <w:rsid w:val="00D55E47"/>
    <w:rsid w:val="00D57A72"/>
    <w:rsid w:val="00D62E19"/>
    <w:rsid w:val="00D64CC6"/>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362D3"/>
    <w:rsid w:val="00E46C08"/>
    <w:rsid w:val="00E471CF"/>
    <w:rsid w:val="00E523A1"/>
    <w:rsid w:val="00E62835"/>
    <w:rsid w:val="00E718EB"/>
    <w:rsid w:val="00E77645"/>
    <w:rsid w:val="00E83697"/>
    <w:rsid w:val="00E859B6"/>
    <w:rsid w:val="00EA66C9"/>
    <w:rsid w:val="00EB2DB5"/>
    <w:rsid w:val="00EB5D32"/>
    <w:rsid w:val="00EC4A25"/>
    <w:rsid w:val="00EF612C"/>
    <w:rsid w:val="00F025A2"/>
    <w:rsid w:val="00F036E9"/>
    <w:rsid w:val="00F07388"/>
    <w:rsid w:val="00F2026E"/>
    <w:rsid w:val="00F2210A"/>
    <w:rsid w:val="00F25591"/>
    <w:rsid w:val="00F30591"/>
    <w:rsid w:val="00F31372"/>
    <w:rsid w:val="00F318D7"/>
    <w:rsid w:val="00F320EB"/>
    <w:rsid w:val="00F362FE"/>
    <w:rsid w:val="00F37743"/>
    <w:rsid w:val="00F5093C"/>
    <w:rsid w:val="00F54A3D"/>
    <w:rsid w:val="00F54CB0"/>
    <w:rsid w:val="00F579CD"/>
    <w:rsid w:val="00F653B8"/>
    <w:rsid w:val="00F67307"/>
    <w:rsid w:val="00F71B89"/>
    <w:rsid w:val="00F7353C"/>
    <w:rsid w:val="00F76F8F"/>
    <w:rsid w:val="00F87257"/>
    <w:rsid w:val="00F941DF"/>
    <w:rsid w:val="00FA1266"/>
    <w:rsid w:val="00FB36FA"/>
    <w:rsid w:val="00FB38ED"/>
    <w:rsid w:val="00FB54D8"/>
    <w:rsid w:val="00FC1192"/>
    <w:rsid w:val="00FC1A78"/>
    <w:rsid w:val="00FC60F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7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B78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780A"/>
    <w:rPr>
      <w:rFonts w:ascii="Arial" w:eastAsia="MS Mincho" w:hAnsi="Arial"/>
      <w:szCs w:val="24"/>
    </w:rPr>
  </w:style>
  <w:style w:type="paragraph" w:customStyle="1" w:styleId="Agreement">
    <w:name w:val="Agreement"/>
    <w:basedOn w:val="Normal"/>
    <w:next w:val="Doc-text2"/>
    <w:uiPriority w:val="99"/>
    <w:qFormat/>
    <w:rsid w:val="00CB780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B22815"/>
    <w:pPr>
      <w:ind w:left="720"/>
      <w:contextualSpacing/>
    </w:pPr>
  </w:style>
  <w:style w:type="character" w:styleId="CommentReference">
    <w:name w:val="annotation reference"/>
    <w:basedOn w:val="DefaultParagraphFont"/>
    <w:rsid w:val="00CE79B8"/>
    <w:rPr>
      <w:sz w:val="16"/>
      <w:szCs w:val="16"/>
    </w:rPr>
  </w:style>
  <w:style w:type="paragraph" w:styleId="CommentText">
    <w:name w:val="annotation text"/>
    <w:basedOn w:val="Normal"/>
    <w:link w:val="CommentTextChar"/>
    <w:rsid w:val="00CE79B8"/>
  </w:style>
  <w:style w:type="character" w:customStyle="1" w:styleId="CommentTextChar">
    <w:name w:val="Comment Text Char"/>
    <w:basedOn w:val="DefaultParagraphFont"/>
    <w:link w:val="CommentText"/>
    <w:rsid w:val="00CE79B8"/>
    <w:rPr>
      <w:lang w:eastAsia="en-US"/>
    </w:rPr>
  </w:style>
  <w:style w:type="paragraph" w:styleId="CommentSubject">
    <w:name w:val="annotation subject"/>
    <w:basedOn w:val="CommentText"/>
    <w:next w:val="CommentText"/>
    <w:link w:val="CommentSubjectChar"/>
    <w:rsid w:val="00CE79B8"/>
    <w:rPr>
      <w:b/>
      <w:bCs/>
    </w:rPr>
  </w:style>
  <w:style w:type="character" w:customStyle="1" w:styleId="CommentSubjectChar">
    <w:name w:val="Comment Subject Char"/>
    <w:basedOn w:val="CommentTextChar"/>
    <w:link w:val="CommentSubject"/>
    <w:rsid w:val="00CE79B8"/>
    <w:rPr>
      <w:b/>
      <w:bCs/>
      <w:lang w:eastAsia="en-US"/>
    </w:rPr>
  </w:style>
  <w:style w:type="paragraph" w:customStyle="1" w:styleId="Comments">
    <w:name w:val="Comments"/>
    <w:basedOn w:val="Normal"/>
    <w:link w:val="CommentsChar"/>
    <w:qFormat/>
    <w:rsid w:val="00164F6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64F6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8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5AIRPNAIUNRU-859666464-11359</_dlc_DocId>
    <_dlc_DocIdUrl xmlns="71c5aaf6-e6ce-465b-b873-5148d2a4c105">
      <Url>https://nokia.sharepoint.com/sites/c5g/e2earch/_layouts/15/DocIdRedir.aspx?ID=5AIRPNAIUNRU-859666464-11359</Url>
      <Description>5AIRPNAIUNRU-859666464-11359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1757</TotalTime>
  <Pages>4</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10383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136</cp:revision>
  <dcterms:created xsi:type="dcterms:W3CDTF">2022-04-11T14:03:00Z</dcterms:created>
  <dcterms:modified xsi:type="dcterms:W3CDTF">2022-04-25T14:59:00Z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1f0db218-4e3a-4b4c-835b-6822ba151172</vt:lpwstr>
  </property>
</Properties>
</file>